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bookmarkStart w:id="0" w:name="_GoBack"/>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-1266825</wp:posOffset>
            </wp:positionH>
            <wp:positionV relativeFrom="page">
              <wp:posOffset>1604645</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6"/>
                    <a:stretch>
                      <a:fillRect/>
                    </a:stretch>
                  </pic:blipFill>
                  <pic:spPr>
                    <a:xfrm rot="5399999">
                      <a:off x="0" y="0"/>
                      <a:ext cx="10075545" cy="7556500"/>
                    </a:xfrm>
                    <a:prstGeom prst="rect">
                      <a:avLst/>
                    </a:prstGeom>
                    <a:noFill/>
                    <a:ln>
                      <a:noFill/>
                    </a:ln>
                  </pic:spPr>
                </pic:pic>
              </a:graphicData>
            </a:graphic>
          </wp:anchor>
        </w:drawing>
      </w:r>
      <w:bookmarkEnd w:id="0"/>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-923925</wp:posOffset>
            </wp:positionH>
            <wp:positionV relativeFrom="page">
              <wp:posOffset>1023620</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p>
    <w:p>
      <w:pPr>
        <w:spacing w:after="0" w:line="240" w:lineRule="auto"/>
        <w:ind w:left="6720"/>
        <w:rPr>
          <w:rFonts w:ascii="Times New Roman" w:hAnsi="Times New Roman" w:eastAsia="Times New Roman" w:cs="Times New Roman"/>
          <w:sz w:val="28"/>
          <w:szCs w:val="28"/>
          <w:lang w:val="uk-UA" w:eastAsia="ru-RU"/>
        </w:rPr>
      </w:pPr>
    </w:p>
    <w:p>
      <w:pPr>
        <w:spacing w:after="0" w:line="240" w:lineRule="auto"/>
        <w:ind w:left="6720"/>
        <w:rPr>
          <w:rFonts w:ascii="Times New Roman" w:hAnsi="Times New Roman" w:eastAsia="Times New Roman" w:cs="Times New Roman"/>
          <w:sz w:val="28"/>
          <w:szCs w:val="28"/>
          <w:lang w:val="uk-UA" w:eastAsia="ru-RU"/>
        </w:rPr>
      </w:pPr>
    </w:p>
    <w:p>
      <w:pPr>
        <w:tabs>
          <w:tab w:val="left" w:pos="1418"/>
        </w:tabs>
        <w:spacing w:after="0"/>
        <w:jc w:val="center"/>
        <w:rPr>
          <w:rFonts w:ascii="Times New Roman" w:hAnsi="Times New Roman" w:eastAsia="Times New Roman" w:cs="Times New Roman"/>
          <w:b/>
          <w:bCs/>
          <w:color w:val="000000"/>
          <w:sz w:val="28"/>
          <w:szCs w:val="28"/>
          <w:lang w:val="uk-UA" w:eastAsia="uk-UA"/>
        </w:rPr>
      </w:pPr>
    </w:p>
    <w:p>
      <w:pPr>
        <w:tabs>
          <w:tab w:val="left" w:pos="1418"/>
        </w:tabs>
        <w:spacing w:after="0"/>
        <w:jc w:val="center"/>
        <w:rPr>
          <w:rFonts w:ascii="Times New Roman" w:hAnsi="Times New Roman" w:eastAsia="Times New Roman" w:cs="Times New Roman"/>
          <w:b/>
          <w:bCs/>
          <w:color w:val="000000"/>
          <w:sz w:val="28"/>
          <w:szCs w:val="28"/>
          <w:lang w:val="uk-UA" w:eastAsia="uk-UA"/>
        </w:rPr>
      </w:pPr>
      <w:r>
        <w:rPr>
          <w:rFonts w:ascii="Times New Roman" w:hAnsi="Times New Roman" w:eastAsia="Times New Roman" w:cs="Times New Roman"/>
          <w:b/>
          <w:bCs/>
          <w:color w:val="000000"/>
          <w:sz w:val="28"/>
          <w:szCs w:val="28"/>
          <w:lang w:val="uk-UA" w:eastAsia="uk-UA"/>
        </w:rPr>
        <w:t>Анотація</w:t>
      </w:r>
    </w:p>
    <w:p>
      <w:pPr>
        <w:tabs>
          <w:tab w:val="left" w:pos="1418"/>
        </w:tabs>
        <w:spacing w:after="0"/>
        <w:jc w:val="center"/>
        <w:rPr>
          <w:rFonts w:ascii="Times New Roman" w:hAnsi="Times New Roman" w:cs="Times New Roman"/>
          <w:b/>
          <w:sz w:val="28"/>
          <w:szCs w:val="28"/>
          <w:lang w:val="uk-UA"/>
        </w:rPr>
      </w:pPr>
    </w:p>
    <w:p>
      <w:pPr>
        <w:tabs>
          <w:tab w:val="left" w:pos="141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Виробнича практика магістрів є важливим етапом в підготовці фахівців високої кваліфікації. Програма виробничої практики складена Рудь І.Ю. відповідно до освітньо-професійної програми підготовки фахівців за спеціальністю 072 Фінанси, банківська справа та страхування.</w:t>
      </w:r>
    </w:p>
    <w:p>
      <w:pPr>
        <w:tabs>
          <w:tab w:val="left" w:pos="141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Предметом виробничої практики є закріплення навичок самостійної роботи, формування умінь синтезувати в єдине ціле набуті фундаментальні знання, підтвердження професійної готовності до розв’язування практичних завдань.</w:t>
      </w:r>
    </w:p>
    <w:p>
      <w:pPr>
        <w:autoSpaceDE w:val="0"/>
        <w:autoSpaceDN w:val="0"/>
        <w:adjustRightInd w:val="0"/>
        <w:spacing w:after="0" w:line="240" w:lineRule="auto"/>
        <w:ind w:firstLine="567"/>
        <w:jc w:val="both"/>
        <w:rPr>
          <w:rFonts w:ascii="Times New Roman" w:hAnsi="Times New Roman" w:eastAsia="Times New Roman" w:cs="Times New Roman"/>
          <w:b/>
          <w:sz w:val="28"/>
          <w:szCs w:val="28"/>
          <w:lang w:val="uk-UA" w:eastAsia="uk-UA"/>
        </w:rPr>
      </w:pPr>
      <w:r>
        <w:rPr>
          <w:rFonts w:ascii="Times New Roman" w:hAnsi="Times New Roman" w:cs="Times New Roman"/>
          <w:bCs/>
          <w:sz w:val="28"/>
          <w:szCs w:val="28"/>
          <w:lang w:val="uk-UA"/>
        </w:rPr>
        <w:t>Міждисциплінарні</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зв’язки</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eastAsia="TimesNewRoman" w:cs="Times New Roman"/>
          <w:sz w:val="28"/>
          <w:szCs w:val="28"/>
          <w:lang w:val="uk-UA"/>
        </w:rPr>
        <w:t>виробнича практика є однією із форм підготовки майбутніх фахівців з фінансів, банківської справи та страхування під час якої здобувач вищої освіти може апробувати свої знання, уміння та навички, набуті в процесі вивчення циклу професійних дисциплін</w:t>
      </w:r>
      <w:r>
        <w:rPr>
          <w:rFonts w:ascii="Times New Roman" w:hAnsi="Times New Roman" w:cs="Times New Roman"/>
          <w:sz w:val="28"/>
          <w:szCs w:val="28"/>
          <w:lang w:val="uk-UA"/>
        </w:rPr>
        <w:t>.</w:t>
      </w:r>
      <w:r>
        <w:rPr>
          <w:rFonts w:ascii="Times New Roman" w:hAnsi="Times New Roman" w:eastAsia="Times New Roman" w:cs="Times New Roman"/>
          <w:b/>
          <w:sz w:val="28"/>
          <w:szCs w:val="28"/>
          <w:lang w:val="uk-UA" w:eastAsia="uk-UA"/>
        </w:rPr>
        <w:t xml:space="preserve"> </w:t>
      </w:r>
    </w:p>
    <w:p>
      <w:pPr>
        <w:autoSpaceDE w:val="0"/>
        <w:autoSpaceDN w:val="0"/>
        <w:adjustRightInd w:val="0"/>
        <w:spacing w:after="0" w:line="240" w:lineRule="auto"/>
        <w:ind w:firstLine="567"/>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b/>
          <w:i/>
          <w:sz w:val="28"/>
          <w:szCs w:val="28"/>
          <w:lang w:val="uk-UA" w:eastAsia="uk-UA"/>
        </w:rPr>
        <w:t>Ключові слова</w:t>
      </w:r>
      <w:r>
        <w:rPr>
          <w:rFonts w:ascii="Times New Roman" w:hAnsi="Times New Roman" w:eastAsia="Times New Roman" w:cs="Times New Roman"/>
          <w:sz w:val="28"/>
          <w:szCs w:val="28"/>
          <w:lang w:val="uk-UA" w:eastAsia="uk-UA"/>
        </w:rPr>
        <w:t>: структура управління, податки, доходи, видатки.</w:t>
      </w:r>
    </w:p>
    <w:p>
      <w:pPr>
        <w:autoSpaceDE w:val="0"/>
        <w:autoSpaceDN w:val="0"/>
        <w:adjustRightInd w:val="0"/>
        <w:spacing w:after="0" w:line="240" w:lineRule="auto"/>
        <w:ind w:firstLine="567"/>
        <w:jc w:val="both"/>
        <w:rPr>
          <w:rFonts w:ascii="Times New Roman" w:hAnsi="Times New Roman" w:eastAsia="Times New Roman" w:cs="Times New Roman"/>
          <w:sz w:val="28"/>
          <w:szCs w:val="28"/>
          <w:lang w:val="uk-UA" w:eastAsia="uk-UA"/>
        </w:rPr>
      </w:pPr>
    </w:p>
    <w:p>
      <w:pPr>
        <w:autoSpaceDE w:val="0"/>
        <w:autoSpaceDN w:val="0"/>
        <w:adjustRightInd w:val="0"/>
        <w:spacing w:after="0" w:line="240" w:lineRule="auto"/>
        <w:ind w:firstLine="567"/>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Annotation</w:t>
      </w:r>
    </w:p>
    <w:p>
      <w:pPr>
        <w:autoSpaceDE w:val="0"/>
        <w:autoSpaceDN w:val="0"/>
        <w:adjustRightInd w:val="0"/>
        <w:spacing w:after="0" w:line="240" w:lineRule="auto"/>
        <w:ind w:firstLine="567"/>
        <w:jc w:val="center"/>
        <w:rPr>
          <w:rFonts w:ascii="Times New Roman" w:hAnsi="Times New Roman" w:eastAsia="Times New Roman" w:cs="Times New Roman"/>
          <w:b/>
          <w:sz w:val="28"/>
          <w:szCs w:val="28"/>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The internship of masters is an important stage in the training of highly qualified specialists. The program of industrial practice is made by Rud I.Yu. in accordance with the educational and professional training program for the specialty 072 Finance, Banking and Insurance.</w:t>
      </w:r>
    </w:p>
    <w:p>
      <w:pPr>
        <w:tabs>
          <w:tab w:val="left" w:pos="1418"/>
        </w:tabs>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The subject of industrial practice is the consolidation of skills of independent work, the formation of skills to synthesize the acquired fundamental knowledge, the confirmation of professional readiness to solve practical problems.</w:t>
      </w:r>
    </w:p>
    <w:p>
      <w:pPr>
        <w:tabs>
          <w:tab w:val="left" w:pos="1418"/>
        </w:tabs>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nterdisciplinary links: internships are a form of training future professionals in finance, banking and insurance, during which the applicant can test their knowledge, skills and abilities acquired in the process of studying the cycle of professional disciplines.</w:t>
      </w:r>
    </w:p>
    <w:p>
      <w:pPr>
        <w:tabs>
          <w:tab w:val="left" w:pos="1418"/>
        </w:tabs>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Key words</w:t>
      </w:r>
      <w:r>
        <w:rPr>
          <w:rFonts w:ascii="Times New Roman" w:hAnsi="Times New Roman" w:cs="Times New Roman"/>
          <w:sz w:val="28"/>
          <w:szCs w:val="28"/>
          <w:lang w:val="uk-UA"/>
        </w:rPr>
        <w:t>: management structure, taxes, revenues, expenditures.</w:t>
      </w:r>
    </w:p>
    <w:p>
      <w:pPr>
        <w:spacing w:after="0" w:line="240" w:lineRule="auto"/>
        <w:ind w:left="6720"/>
        <w:rPr>
          <w:rFonts w:ascii="Times New Roman" w:hAnsi="Times New Roman" w:eastAsia="Times New Roman" w:cs="Times New Roman"/>
          <w:sz w:val="28"/>
          <w:szCs w:val="28"/>
          <w:lang w:val="uk-UA"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spacing w:after="0" w:line="240" w:lineRule="auto"/>
        <w:ind w:left="6720"/>
        <w:rPr>
          <w:rFonts w:ascii="Times New Roman" w:hAnsi="Times New Roman" w:eastAsia="Times New Roman" w:cs="Times New Roman"/>
          <w:sz w:val="24"/>
          <w:szCs w:val="24"/>
          <w:lang w:val="en-US" w:eastAsia="ru-RU"/>
        </w:rPr>
      </w:pPr>
    </w:p>
    <w:p>
      <w:pPr>
        <w:tabs>
          <w:tab w:val="left" w:pos="0"/>
          <w:tab w:val="left" w:pos="3402"/>
        </w:tabs>
        <w:spacing w:after="0" w:line="240" w:lineRule="auto"/>
        <w:ind w:left="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1. Опис виробничої практики </w:t>
      </w:r>
    </w:p>
    <w:p>
      <w:pPr>
        <w:tabs>
          <w:tab w:val="left" w:pos="0"/>
          <w:tab w:val="left" w:pos="3402"/>
        </w:tabs>
        <w:spacing w:after="0" w:line="240" w:lineRule="auto"/>
        <w:ind w:left="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Денна форма навчання</w:t>
      </w:r>
    </w:p>
    <w:p>
      <w:pPr>
        <w:tabs>
          <w:tab w:val="left" w:pos="0"/>
          <w:tab w:val="left" w:pos="3402"/>
        </w:tabs>
        <w:spacing w:after="0" w:line="240" w:lineRule="auto"/>
        <w:ind w:left="567"/>
        <w:jc w:val="center"/>
        <w:rPr>
          <w:rFonts w:ascii="Times New Roman" w:hAnsi="Times New Roman" w:eastAsia="Times New Roman" w:cs="Times New Roman"/>
          <w:b/>
          <w:bCs/>
          <w:sz w:val="24"/>
          <w:szCs w:val="24"/>
          <w:lang w:val="uk-UA" w:eastAsia="ru-RU"/>
        </w:rPr>
      </w:pPr>
    </w:p>
    <w:tbl>
      <w:tblPr>
        <w:tblStyle w:val="12"/>
        <w:tblpPr w:leftFromText="180" w:rightFromText="180" w:vertAnchor="text" w:horzAnchor="margin" w:tblpX="250" w:tblpY="1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4"/>
        <w:gridCol w:w="3156"/>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Найменування показників</w:t>
            </w:r>
          </w:p>
        </w:tc>
        <w:tc>
          <w:tcPr>
            <w:tcW w:w="1693" w:type="pct"/>
            <w:vMerge w:val="restart"/>
            <w:vAlign w:val="center"/>
          </w:tcPr>
          <w:p>
            <w:pPr>
              <w:spacing w:after="0" w:line="240" w:lineRule="auto"/>
              <w:jc w:val="center"/>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val="uk-UA" w:eastAsia="uk-UA"/>
              </w:rPr>
              <w:t>Галузь знань, напрям підготовки, освітній ступінь</w:t>
            </w:r>
          </w:p>
        </w:tc>
        <w:tc>
          <w:tcPr>
            <w:tcW w:w="1540" w:type="pc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 xml:space="preserve">Характеристика </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bCs/>
                <w:sz w:val="24"/>
                <w:szCs w:val="24"/>
                <w:lang w:val="uk-UA" w:eastAsia="ru-RU"/>
              </w:rPr>
              <w:t>виробничої практики у фінансово-кредитних установах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Align w:val="center"/>
          </w:tcPr>
          <w:p>
            <w:pPr>
              <w:spacing w:after="0" w:line="240" w:lineRule="auto"/>
              <w:jc w:val="center"/>
              <w:rPr>
                <w:rFonts w:ascii="Times New Roman" w:hAnsi="Times New Roman" w:eastAsia="Times New Roman" w:cs="Times New Roman"/>
                <w:i/>
                <w:color w:val="000000"/>
                <w:sz w:val="24"/>
                <w:szCs w:val="24"/>
                <w:lang w:val="uk-UA" w:eastAsia="uk-UA"/>
              </w:rPr>
            </w:pPr>
            <w:r>
              <w:rPr>
                <w:rFonts w:ascii="Times New Roman" w:hAnsi="Times New Roman" w:eastAsia="Times New Roman" w:cs="Times New Roman"/>
                <w:b/>
                <w:bCs/>
                <w:i/>
                <w:color w:val="000000"/>
                <w:sz w:val="24"/>
                <w:szCs w:val="24"/>
                <w:lang w:val="uk-UA" w:eastAsia="uk-UA"/>
              </w:rPr>
              <w:t>денна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767"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Кількість кредитів – 6</w:t>
            </w:r>
          </w:p>
        </w:tc>
        <w:tc>
          <w:tcPr>
            <w:tcW w:w="1693" w:type="pct"/>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Галузь знань</w:t>
            </w: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uk-UA"/>
              </w:rPr>
              <w:t>07 Управління та адміністрування</w:t>
            </w:r>
          </w:p>
        </w:tc>
        <w:tc>
          <w:tcPr>
            <w:tcW w:w="1540"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Нормативна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767"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Спеціальність 072</w:t>
            </w: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uk-UA"/>
              </w:rPr>
              <w:t>Фінанси, банківська справа та страхування</w:t>
            </w:r>
          </w:p>
        </w:tc>
        <w:tc>
          <w:tcPr>
            <w:tcW w:w="1540"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1767" w:type="pct"/>
            <w:tcBorders>
              <w:bottom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Індивідуальне науково-дослідне завдання</w:t>
            </w:r>
            <w:r>
              <w:rPr>
                <w:rFonts w:ascii="Times New Roman" w:hAnsi="Times New Roman" w:eastAsia="Times New Roman" w:cs="Times New Roman"/>
                <w:color w:val="000000"/>
                <w:sz w:val="24"/>
                <w:szCs w:val="24"/>
                <w:lang w:val="uk-UA" w:eastAsia="uk-UA"/>
              </w:rPr>
              <w:br w:type="textWrapping"/>
            </w:r>
            <w:r>
              <w:rPr>
                <w:rFonts w:ascii="Times New Roman" w:hAnsi="Times New Roman" w:eastAsia="Times New Roman" w:cs="Times New Roman"/>
                <w:color w:val="000000"/>
                <w:sz w:val="24"/>
                <w:szCs w:val="24"/>
                <w:lang w:val="uk-UA" w:eastAsia="uk-UA"/>
              </w:rPr>
              <w:t xml:space="preserve">написання Звіту з практики як інноваційного проекту </w:t>
            </w:r>
          </w:p>
        </w:tc>
        <w:tc>
          <w:tcPr>
            <w:tcW w:w="1693" w:type="pct"/>
            <w:vMerge w:val="restart"/>
            <w:tcBorders>
              <w:bottom w:val="single" w:color="auto" w:sz="4" w:space="0"/>
            </w:tcBorders>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Ступінь</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магістр</w:t>
            </w:r>
          </w:p>
        </w:tc>
        <w:tc>
          <w:tcPr>
            <w:tcW w:w="1540" w:type="pct"/>
            <w:vMerge w:val="restart"/>
            <w:tcBorders>
              <w:bottom w:val="single" w:color="auto" w:sz="4" w:space="0"/>
            </w:tcBorders>
            <w:vAlign w:val="center"/>
          </w:tcPr>
          <w:p>
            <w:pPr>
              <w:spacing w:after="0" w:line="240" w:lineRule="auto"/>
              <w:jc w:val="center"/>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Семестр:</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1-й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7"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Cs/>
                <w:color w:val="000000"/>
                <w:sz w:val="24"/>
                <w:szCs w:val="24"/>
                <w:lang w:val="uk-UA" w:eastAsia="uk-UA"/>
              </w:rPr>
              <w:t>Загальна кількість годин – 180</w:t>
            </w: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7"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Консультації - </w:t>
            </w:r>
            <w:r>
              <w:rPr>
                <w:rFonts w:ascii="Times New Roman" w:hAnsi="Times New Roman" w:eastAsia="Times New Roman" w:cs="Times New Roman"/>
                <w:bCs/>
                <w:color w:val="000000"/>
                <w:sz w:val="24"/>
                <w:szCs w:val="24"/>
                <w:lang w:val="uk-UA" w:eastAsia="uk-UA"/>
              </w:rPr>
              <w:t>24</w:t>
            </w:r>
            <w:r>
              <w:rPr>
                <w:rFonts w:ascii="Times New Roman" w:hAnsi="Times New Roman" w:eastAsia="Times New Roman" w:cs="Times New Roman"/>
                <w:b/>
                <w:bCs/>
                <w:color w:val="000000"/>
                <w:sz w:val="24"/>
                <w:szCs w:val="24"/>
                <w:lang w:val="uk-UA" w:eastAsia="uk-UA"/>
              </w:rPr>
              <w:t xml:space="preserve"> </w:t>
            </w:r>
            <w:r>
              <w:rPr>
                <w:rFonts w:ascii="Times New Roman" w:hAnsi="Times New Roman" w:eastAsia="Times New Roman" w:cs="Times New Roman"/>
                <w:color w:val="000000"/>
                <w:sz w:val="24"/>
                <w:szCs w:val="24"/>
                <w:lang w:val="uk-UA" w:eastAsia="uk-UA"/>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7"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Тижневих годин для денної форми навчання:</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аудиторних – 6 год.;</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самостійної роботи студента – 39 год.</w:t>
            </w: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67"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Практичні - </w:t>
            </w:r>
            <w:r>
              <w:rPr>
                <w:rFonts w:ascii="Times New Roman" w:hAnsi="Times New Roman" w:eastAsia="Times New Roman" w:cs="Times New Roman"/>
                <w:color w:val="000000"/>
                <w:sz w:val="24"/>
                <w:szCs w:val="24"/>
                <w:lang w:val="uk-UA" w:eastAsia="uk-UA"/>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67"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Самостійна робота - </w:t>
            </w:r>
            <w:r>
              <w:rPr>
                <w:rFonts w:ascii="Times New Roman" w:hAnsi="Times New Roman" w:eastAsia="Times New Roman" w:cs="Times New Roman"/>
                <w:color w:val="000000"/>
                <w:sz w:val="24"/>
                <w:szCs w:val="24"/>
                <w:lang w:val="uk-UA" w:eastAsia="uk-UA"/>
              </w:rPr>
              <w:t>156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67"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Вид контролю:</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67" w:type="pct"/>
            <w:vAlign w:val="center"/>
          </w:tcPr>
          <w:p>
            <w:pPr>
              <w:spacing w:after="0" w:line="240" w:lineRule="auto"/>
              <w:ind w:left="142" w:firstLine="22"/>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http://moodle.mdu.edu.ua/my/</w:t>
            </w:r>
          </w:p>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bl>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spacing w:after="0" w:line="240" w:lineRule="auto"/>
        <w:ind w:left="142" w:firstLine="709"/>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Мова навчання – українська</w:t>
      </w:r>
    </w:p>
    <w:p>
      <w:pPr>
        <w:spacing w:after="0" w:line="240" w:lineRule="auto"/>
        <w:ind w:left="142" w:firstLine="709"/>
        <w:jc w:val="both"/>
        <w:rPr>
          <w:rFonts w:ascii="Times New Roman" w:hAnsi="Times New Roman" w:eastAsia="Times New Roman" w:cs="Times New Roman"/>
          <w:color w:val="000000"/>
          <w:sz w:val="24"/>
          <w:szCs w:val="24"/>
          <w:lang w:val="uk-UA" w:eastAsia="uk-UA"/>
        </w:rPr>
      </w:pPr>
    </w:p>
    <w:p>
      <w:pPr>
        <w:spacing w:after="0" w:line="240" w:lineRule="auto"/>
        <w:ind w:left="142" w:firstLine="709"/>
        <w:jc w:val="both"/>
        <w:rPr>
          <w:rFonts w:ascii="Times New Roman" w:hAnsi="Times New Roman" w:eastAsia="Times New Roman" w:cs="Times New Roman"/>
          <w:b/>
          <w:bCs/>
          <w:sz w:val="24"/>
          <w:szCs w:val="24"/>
          <w:lang w:val="uk-UA" w:eastAsia="ru-RU"/>
        </w:rPr>
      </w:pPr>
    </w:p>
    <w:p>
      <w:pPr>
        <w:spacing w:after="0" w:line="240" w:lineRule="auto"/>
        <w:ind w:left="142"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sz w:val="24"/>
          <w:szCs w:val="24"/>
          <w:lang w:val="uk-UA" w:eastAsia="ru-RU"/>
        </w:rPr>
        <w:t>Примітка</w:t>
      </w:r>
      <w:r>
        <w:rPr>
          <w:rFonts w:ascii="Times New Roman" w:hAnsi="Times New Roman" w:eastAsia="Times New Roman" w:cs="Times New Roman"/>
          <w:sz w:val="24"/>
          <w:szCs w:val="24"/>
          <w:lang w:val="uk-UA" w:eastAsia="ru-RU"/>
        </w:rPr>
        <w:t>.</w:t>
      </w:r>
    </w:p>
    <w:p>
      <w:pPr>
        <w:spacing w:after="0" w:line="240" w:lineRule="auto"/>
        <w:ind w:left="142"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Співвідношення кількості годин консультацій до самостійної і індивідуальної роботи становить для денної форми навчання – 180 год.: 24 год. – консультації, 156 год. – самостійна робота (</w:t>
      </w:r>
      <w:r>
        <w:rPr>
          <w:rFonts w:ascii="Times New Roman" w:hAnsi="Times New Roman" w:eastAsia="Times New Roman" w:cs="Times New Roman"/>
          <w:sz w:val="24"/>
          <w:szCs w:val="24"/>
          <w:lang w:val="uk-UA" w:eastAsia="uk-UA"/>
        </w:rPr>
        <w:t>13% / 87%)</w:t>
      </w:r>
      <w:r>
        <w:rPr>
          <w:rFonts w:ascii="Times New Roman" w:hAnsi="Times New Roman" w:eastAsia="Times New Roman" w:cs="Times New Roman"/>
          <w:sz w:val="24"/>
          <w:szCs w:val="24"/>
          <w:lang w:val="uk-UA" w:eastAsia="ru-RU"/>
        </w:rPr>
        <w:t>.</w:t>
      </w: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0"/>
          <w:tab w:val="left" w:pos="3402"/>
        </w:tabs>
        <w:spacing w:after="0" w:line="240" w:lineRule="auto"/>
        <w:ind w:left="567"/>
        <w:jc w:val="center"/>
        <w:rPr>
          <w:rFonts w:ascii="Times New Roman" w:hAnsi="Times New Roman" w:eastAsia="Times New Roman" w:cs="Times New Roman"/>
          <w:b/>
          <w:bCs/>
          <w:sz w:val="24"/>
          <w:szCs w:val="24"/>
          <w:lang w:val="uk-UA" w:eastAsia="ru-RU"/>
        </w:rPr>
      </w:pPr>
    </w:p>
    <w:p>
      <w:pPr>
        <w:tabs>
          <w:tab w:val="left" w:pos="0"/>
          <w:tab w:val="left" w:pos="3402"/>
        </w:tabs>
        <w:spacing w:after="0" w:line="240" w:lineRule="auto"/>
        <w:ind w:left="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Заочна форма навчання</w:t>
      </w:r>
    </w:p>
    <w:tbl>
      <w:tblPr>
        <w:tblStyle w:val="12"/>
        <w:tblpPr w:leftFromText="180" w:rightFromText="180" w:vertAnchor="text" w:horzAnchor="margin" w:tblpX="250" w:tblpY="1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4"/>
        <w:gridCol w:w="3156"/>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Найменування показників</w:t>
            </w:r>
          </w:p>
        </w:tc>
        <w:tc>
          <w:tcPr>
            <w:tcW w:w="1693" w:type="pct"/>
            <w:vMerge w:val="restart"/>
            <w:vAlign w:val="center"/>
          </w:tcPr>
          <w:p>
            <w:pPr>
              <w:spacing w:after="0" w:line="240" w:lineRule="auto"/>
              <w:jc w:val="center"/>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val="uk-UA" w:eastAsia="uk-UA"/>
              </w:rPr>
              <w:t>Галузь знань, напрям підготовки, освітній ступінь</w:t>
            </w:r>
          </w:p>
        </w:tc>
        <w:tc>
          <w:tcPr>
            <w:tcW w:w="1540" w:type="pc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 xml:space="preserve">Характеристика </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bCs/>
                <w:sz w:val="24"/>
                <w:szCs w:val="24"/>
                <w:lang w:val="uk-UA" w:eastAsia="ru-RU"/>
              </w:rPr>
              <w:t>виробничої практики у фінансово-кредитних установах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Align w:val="center"/>
          </w:tcPr>
          <w:p>
            <w:pPr>
              <w:spacing w:after="0" w:line="240" w:lineRule="auto"/>
              <w:jc w:val="center"/>
              <w:rPr>
                <w:rFonts w:ascii="Times New Roman" w:hAnsi="Times New Roman" w:eastAsia="Times New Roman" w:cs="Times New Roman"/>
                <w:i/>
                <w:color w:val="000000"/>
                <w:sz w:val="24"/>
                <w:szCs w:val="24"/>
                <w:lang w:val="uk-UA" w:eastAsia="uk-UA"/>
              </w:rPr>
            </w:pPr>
            <w:r>
              <w:rPr>
                <w:rFonts w:ascii="Times New Roman" w:hAnsi="Times New Roman" w:eastAsia="Times New Roman" w:cs="Times New Roman"/>
                <w:b/>
                <w:bCs/>
                <w:i/>
                <w:color w:val="000000"/>
                <w:sz w:val="24"/>
                <w:szCs w:val="24"/>
                <w:lang w:val="uk-UA" w:eastAsia="uk-UA"/>
              </w:rPr>
              <w:t>Заочна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767"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Кількість кредитів – 6</w:t>
            </w:r>
          </w:p>
        </w:tc>
        <w:tc>
          <w:tcPr>
            <w:tcW w:w="1693" w:type="pct"/>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Галузь знань</w:t>
            </w: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uk-UA"/>
              </w:rPr>
              <w:t>07 Управління та адміністрування</w:t>
            </w:r>
          </w:p>
        </w:tc>
        <w:tc>
          <w:tcPr>
            <w:tcW w:w="1540"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Нормативна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767"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Спеціальність 072</w:t>
            </w: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uk-UA"/>
              </w:rPr>
              <w:t>Фінанси, банківська справа та страхування</w:t>
            </w:r>
          </w:p>
        </w:tc>
        <w:tc>
          <w:tcPr>
            <w:tcW w:w="1540"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1767" w:type="pct"/>
            <w:tcBorders>
              <w:bottom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Індивідуальне науково-дослідне завдання</w:t>
            </w:r>
            <w:r>
              <w:rPr>
                <w:rFonts w:ascii="Times New Roman" w:hAnsi="Times New Roman" w:eastAsia="Times New Roman" w:cs="Times New Roman"/>
                <w:color w:val="000000"/>
                <w:sz w:val="24"/>
                <w:szCs w:val="24"/>
                <w:lang w:val="uk-UA" w:eastAsia="uk-UA"/>
              </w:rPr>
              <w:br w:type="textWrapping"/>
            </w:r>
            <w:r>
              <w:rPr>
                <w:rFonts w:ascii="Times New Roman" w:hAnsi="Times New Roman" w:eastAsia="Times New Roman" w:cs="Times New Roman"/>
                <w:color w:val="000000"/>
                <w:sz w:val="24"/>
                <w:szCs w:val="24"/>
                <w:lang w:val="uk-UA" w:eastAsia="uk-UA"/>
              </w:rPr>
              <w:t xml:space="preserve">написання Звіту з практики як інноваційного проекту </w:t>
            </w:r>
          </w:p>
        </w:tc>
        <w:tc>
          <w:tcPr>
            <w:tcW w:w="1693" w:type="pct"/>
            <w:vMerge w:val="restart"/>
            <w:tcBorders>
              <w:bottom w:val="single" w:color="auto" w:sz="4" w:space="0"/>
            </w:tcBorders>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Ступінь</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магістр</w:t>
            </w:r>
          </w:p>
        </w:tc>
        <w:tc>
          <w:tcPr>
            <w:tcW w:w="1540" w:type="pct"/>
            <w:vMerge w:val="restart"/>
            <w:tcBorders>
              <w:bottom w:val="single" w:color="auto" w:sz="4" w:space="0"/>
            </w:tcBorders>
            <w:vAlign w:val="center"/>
          </w:tcPr>
          <w:p>
            <w:pPr>
              <w:spacing w:after="0" w:line="240" w:lineRule="auto"/>
              <w:jc w:val="center"/>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Семестр:</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1-й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7"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Cs/>
                <w:color w:val="000000"/>
                <w:sz w:val="24"/>
                <w:szCs w:val="24"/>
                <w:lang w:val="uk-UA" w:eastAsia="uk-UA"/>
              </w:rPr>
              <w:t>Загальна кількість годин – 180</w:t>
            </w: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7"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Консультації - </w:t>
            </w:r>
            <w:r>
              <w:rPr>
                <w:rFonts w:ascii="Times New Roman" w:hAnsi="Times New Roman" w:eastAsia="Times New Roman" w:cs="Times New Roman"/>
                <w:bCs/>
                <w:color w:val="000000"/>
                <w:sz w:val="24"/>
                <w:szCs w:val="24"/>
                <w:lang w:val="uk-UA" w:eastAsia="uk-UA"/>
              </w:rPr>
              <w:t>6</w:t>
            </w:r>
            <w:r>
              <w:rPr>
                <w:rFonts w:ascii="Times New Roman" w:hAnsi="Times New Roman" w:eastAsia="Times New Roman" w:cs="Times New Roman"/>
                <w:b/>
                <w:bCs/>
                <w:color w:val="000000"/>
                <w:sz w:val="24"/>
                <w:szCs w:val="24"/>
                <w:lang w:val="uk-UA" w:eastAsia="uk-UA"/>
              </w:rPr>
              <w:t xml:space="preserve"> </w:t>
            </w:r>
            <w:r>
              <w:rPr>
                <w:rFonts w:ascii="Times New Roman" w:hAnsi="Times New Roman" w:eastAsia="Times New Roman" w:cs="Times New Roman"/>
                <w:color w:val="000000"/>
                <w:sz w:val="24"/>
                <w:szCs w:val="24"/>
                <w:lang w:val="uk-UA" w:eastAsia="uk-UA"/>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7"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Тижневих годин для заочної форми навчання:</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аудиторних – 2  год.;</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самостійної роботи студента – 43 год.</w:t>
            </w: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67"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Практичні - </w:t>
            </w:r>
            <w:r>
              <w:rPr>
                <w:rFonts w:ascii="Times New Roman" w:hAnsi="Times New Roman" w:eastAsia="Times New Roman" w:cs="Times New Roman"/>
                <w:color w:val="000000"/>
                <w:sz w:val="24"/>
                <w:szCs w:val="24"/>
                <w:lang w:val="uk-UA" w:eastAsia="uk-UA"/>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67"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Самостійна робота - </w:t>
            </w:r>
            <w:r>
              <w:rPr>
                <w:rFonts w:ascii="Times New Roman" w:hAnsi="Times New Roman" w:eastAsia="Times New Roman" w:cs="Times New Roman"/>
                <w:color w:val="000000"/>
                <w:sz w:val="24"/>
                <w:szCs w:val="24"/>
                <w:lang w:val="uk-UA" w:eastAsia="uk-UA"/>
              </w:rPr>
              <w:t>174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67"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Вид контролю:</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67" w:type="pct"/>
            <w:vAlign w:val="center"/>
          </w:tcPr>
          <w:p>
            <w:pPr>
              <w:spacing w:after="0" w:line="240" w:lineRule="auto"/>
              <w:ind w:left="142" w:firstLine="22"/>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http://moodle.mdu.edu.ua/my/</w:t>
            </w:r>
          </w:p>
          <w:p>
            <w:pPr>
              <w:spacing w:after="0" w:line="240" w:lineRule="auto"/>
              <w:jc w:val="center"/>
              <w:rPr>
                <w:rFonts w:ascii="Times New Roman" w:hAnsi="Times New Roman" w:eastAsia="Times New Roman" w:cs="Times New Roman"/>
                <w:color w:val="000000"/>
                <w:sz w:val="24"/>
                <w:szCs w:val="24"/>
                <w:lang w:val="uk-UA" w:eastAsia="uk-UA"/>
              </w:rPr>
            </w:pPr>
          </w:p>
        </w:tc>
        <w:tc>
          <w:tcPr>
            <w:tcW w:w="1693"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40"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bl>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spacing w:after="0" w:line="240" w:lineRule="auto"/>
        <w:ind w:left="142" w:firstLine="709"/>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Мова навчання – українська</w:t>
      </w:r>
    </w:p>
    <w:p>
      <w:pPr>
        <w:spacing w:after="0" w:line="240" w:lineRule="auto"/>
        <w:ind w:left="142" w:firstLine="709"/>
        <w:jc w:val="both"/>
        <w:rPr>
          <w:rFonts w:ascii="Times New Roman" w:hAnsi="Times New Roman" w:eastAsia="Times New Roman" w:cs="Times New Roman"/>
          <w:color w:val="000000"/>
          <w:sz w:val="24"/>
          <w:szCs w:val="24"/>
          <w:lang w:val="uk-UA" w:eastAsia="uk-UA"/>
        </w:rPr>
      </w:pPr>
    </w:p>
    <w:p>
      <w:pPr>
        <w:spacing w:after="0" w:line="240" w:lineRule="auto"/>
        <w:ind w:left="142" w:firstLine="709"/>
        <w:jc w:val="both"/>
        <w:rPr>
          <w:rFonts w:ascii="Times New Roman" w:hAnsi="Times New Roman" w:eastAsia="Times New Roman" w:cs="Times New Roman"/>
          <w:b/>
          <w:bCs/>
          <w:sz w:val="24"/>
          <w:szCs w:val="24"/>
          <w:lang w:val="uk-UA" w:eastAsia="ru-RU"/>
        </w:rPr>
      </w:pPr>
    </w:p>
    <w:p>
      <w:pPr>
        <w:spacing w:after="0" w:line="240" w:lineRule="auto"/>
        <w:ind w:left="142"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sz w:val="24"/>
          <w:szCs w:val="24"/>
          <w:lang w:val="uk-UA" w:eastAsia="ru-RU"/>
        </w:rPr>
        <w:t>Примітка</w:t>
      </w:r>
      <w:r>
        <w:rPr>
          <w:rFonts w:ascii="Times New Roman" w:hAnsi="Times New Roman" w:eastAsia="Times New Roman" w:cs="Times New Roman"/>
          <w:sz w:val="24"/>
          <w:szCs w:val="24"/>
          <w:lang w:val="uk-UA" w:eastAsia="ru-RU"/>
        </w:rPr>
        <w:t>.</w:t>
      </w:r>
    </w:p>
    <w:p>
      <w:pPr>
        <w:spacing w:after="0" w:line="240" w:lineRule="auto"/>
        <w:ind w:left="142" w:firstLine="709"/>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Співвідношення кількості годин консультацій до самостійної і індивідуальної роботи становить для денної форми навчання – 180 год.: 6 год. – консультації, 174 год. – самостійна робота (</w:t>
      </w:r>
      <w:r>
        <w:rPr>
          <w:rFonts w:ascii="Times New Roman" w:hAnsi="Times New Roman" w:eastAsia="Times New Roman" w:cs="Times New Roman"/>
          <w:sz w:val="24"/>
          <w:szCs w:val="24"/>
          <w:lang w:val="uk-UA" w:eastAsia="uk-UA"/>
        </w:rPr>
        <w:t>3% / 97%)</w:t>
      </w:r>
      <w:r>
        <w:rPr>
          <w:rFonts w:ascii="Times New Roman" w:hAnsi="Times New Roman" w:eastAsia="Times New Roman" w:cs="Times New Roman"/>
          <w:sz w:val="24"/>
          <w:szCs w:val="24"/>
          <w:lang w:val="uk-UA" w:eastAsia="ru-RU"/>
        </w:rPr>
        <w:t>.</w:t>
      </w: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eastAsia="ru-RU"/>
        </w:rPr>
      </w:pPr>
    </w:p>
    <w:p>
      <w:pPr>
        <w:autoSpaceDE w:val="0"/>
        <w:autoSpaceDN w:val="0"/>
        <w:adjustRightInd w:val="0"/>
        <w:ind w:firstLine="567"/>
        <w:jc w:val="center"/>
        <w:rPr>
          <w:rFonts w:ascii="Times New Roman" w:hAnsi="Times New Roman" w:cs="Times New Roman"/>
          <w:b/>
          <w:sz w:val="24"/>
          <w:szCs w:val="24"/>
          <w:lang w:val="uk-UA" w:eastAsia="ru-RU"/>
        </w:rPr>
      </w:pPr>
      <w:r>
        <w:rPr>
          <w:rFonts w:ascii="Times New Roman" w:hAnsi="Times New Roman" w:cs="Times New Roman"/>
          <w:b/>
          <w:bCs/>
          <w:color w:val="000000"/>
          <w:sz w:val="24"/>
          <w:szCs w:val="24"/>
          <w:lang w:val="uk-UA"/>
        </w:rPr>
        <w:t>2</w:t>
      </w:r>
      <w:r>
        <w:rPr>
          <w:rFonts w:ascii="Times New Roman" w:hAnsi="Times New Roman" w:cs="Times New Roman"/>
          <w:b/>
          <w:bCs/>
          <w:color w:val="000000"/>
          <w:sz w:val="24"/>
          <w:szCs w:val="24"/>
        </w:rPr>
        <w:t xml:space="preserve">. Мета, </w:t>
      </w:r>
      <w:r>
        <w:rPr>
          <w:rFonts w:ascii="Times New Roman" w:hAnsi="Times New Roman" w:cs="Times New Roman"/>
          <w:b/>
          <w:bCs/>
          <w:color w:val="000000"/>
          <w:sz w:val="24"/>
          <w:szCs w:val="24"/>
          <w:lang w:val="uk-UA"/>
        </w:rPr>
        <w:t xml:space="preserve">завдання </w:t>
      </w:r>
      <w:r>
        <w:rPr>
          <w:rFonts w:ascii="Times New Roman" w:hAnsi="Times New Roman" w:cs="Times New Roman"/>
          <w:b/>
          <w:sz w:val="24"/>
          <w:szCs w:val="24"/>
          <w:lang w:val="uk-UA" w:eastAsia="ru-RU"/>
        </w:rPr>
        <w:t xml:space="preserve">виробничої практики </w:t>
      </w:r>
      <w:r>
        <w:rPr>
          <w:rFonts w:ascii="Times New Roman" w:hAnsi="Times New Roman" w:cs="Times New Roman"/>
          <w:b/>
          <w:bCs/>
          <w:color w:val="000000"/>
          <w:sz w:val="24"/>
          <w:szCs w:val="24"/>
          <w:lang w:val="uk-UA"/>
        </w:rPr>
        <w:t>та очікувані результати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i/>
          <w:sz w:val="24"/>
          <w:szCs w:val="24"/>
          <w:lang w:val="uk-UA"/>
        </w:rPr>
        <w:t>Метою виробничої практики</w:t>
      </w:r>
      <w:r>
        <w:rPr>
          <w:rFonts w:ascii="Times New Roman" w:hAnsi="Times New Roman" w:cs="Times New Roman"/>
          <w:b/>
          <w:sz w:val="24"/>
          <w:szCs w:val="24"/>
          <w:lang w:val="uk-UA"/>
        </w:rPr>
        <w:t xml:space="preserve"> є</w:t>
      </w:r>
      <w:r>
        <w:rPr>
          <w:rFonts w:ascii="Times New Roman" w:hAnsi="Times New Roman" w:cs="Times New Roman"/>
          <w:sz w:val="24"/>
          <w:szCs w:val="24"/>
          <w:lang w:val="uk-UA"/>
        </w:rPr>
        <w:t xml:space="preserve"> закріплення та поглиблення теоретичних знань, набуття практичних навичок та формування відповідних компетентностей.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i/>
          <w:sz w:val="24"/>
          <w:szCs w:val="24"/>
          <w:lang w:val="uk-UA"/>
        </w:rPr>
        <w:t>Завдання виробничої практики</w:t>
      </w:r>
      <w:r>
        <w:rPr>
          <w:rFonts w:ascii="Times New Roman" w:hAnsi="Times New Roman" w:cs="Times New Roman"/>
          <w:b/>
          <w:sz w:val="24"/>
          <w:szCs w:val="24"/>
          <w:lang w:val="uk-UA"/>
        </w:rPr>
        <w:t>:</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Ознайомитись із базою практики – підприємством, установою, організацією: проаналізувати законодавчо-нормативне забезпечення діяльності бази практики діюче на момент проходження практики, провести аналіз фінансової діяльності бази практики, закріпити теоретичні знання у сфері фінансів, банківської справи та страхування в реальних умовах.</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Вивчити на основі чинного законодавства та нормативних документів правові основи діяльності бази практики, її організаційну структуру. Ознайомитись із задачами підприємства, проаналізувати принципи роботи. Окремо детально розглянути функції підприємства.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Розглянути функціональні обов’язки працівників підприємства в залежності від займаної посади і відділу, де працює працівник та правила внутрішнього розпорядку.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Ознайомитись зі змістом роботи фінансових структурних підрозділів бази практики та проявити уміння адаптуватися та діяти в новій ситуації, в новому колективі.</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Проаналізувати ринкової позиції бази практики.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Передумови для проходження практики</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color w:val="000000"/>
          <w:sz w:val="24"/>
          <w:szCs w:val="24"/>
          <w:lang w:val="uk-UA" w:eastAsia="ru-RU"/>
        </w:rPr>
        <w:t>Фінансовий менеджмент, Фінансова санація та банкрутство підприємств, Аналіз банківської діяльності, Інвестиційний менеджмент, Фінансове моделювання</w:t>
      </w:r>
      <w:r>
        <w:rPr>
          <w:rFonts w:ascii="Times New Roman" w:hAnsi="Times New Roman" w:eastAsia="Times New Roman" w:cs="Times New Roman"/>
          <w:sz w:val="24"/>
          <w:szCs w:val="24"/>
          <w:lang w:val="uk-UA" w:eastAsia="uk-UA"/>
        </w:rPr>
        <w:t>.</w:t>
      </w:r>
    </w:p>
    <w:p>
      <w:pPr>
        <w:ind w:right="537" w:firstLine="567"/>
        <w:jc w:val="both"/>
        <w:rPr>
          <w:rFonts w:ascii="Times New Roman" w:hAnsi="Times New Roman" w:cs="Times New Roman"/>
          <w:sz w:val="24"/>
          <w:szCs w:val="24"/>
        </w:rPr>
      </w:pPr>
      <w:r>
        <w:rPr>
          <w:rFonts w:ascii="Times New Roman" w:hAnsi="Times New Roman" w:cs="Times New Roman"/>
          <w:sz w:val="24"/>
          <w:szCs w:val="24"/>
        </w:rPr>
        <w:t>Навчальна дисципліна складається з 6-ти кредитів.</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Програмні результати навчання:</w:t>
      </w:r>
      <w:r>
        <w:rPr>
          <w:rFonts w:ascii="Times New Roman" w:hAnsi="Times New Roman" w:cs="Times New Roman"/>
          <w:sz w:val="24"/>
          <w:szCs w:val="24"/>
        </w:rPr>
        <w:t xml:space="preserve"> </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sz w:val="24"/>
          <w:lang w:val="uk-UA"/>
        </w:rPr>
        <w:t>ПРН 1. Планувати та управляти часом при проведенні досліджень.</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sz w:val="24"/>
          <w:lang w:val="uk-UA"/>
        </w:rPr>
        <w:t>ПРН 3. Здійснювати наукове дослідження та оприлюднювати його результати з вмінням виокремлювати особистий внесок.</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sz w:val="24"/>
          <w:lang w:val="uk-UA"/>
        </w:rPr>
        <w:t>ПРН 8. Оцінювати сучасний стан фінансів, банківської справи та страхування і приймати обґрунтовані рішення.</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sz w:val="24"/>
          <w:lang w:val="uk-UA"/>
        </w:rPr>
        <w:t>ПРН 9. Демонструвати навички самостійної роботи, гнучкого мислення, відкритості до нових знань, оцінювати результати автономної роботи і нести відповідальність за особистий професійний розвиток.</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sz w:val="24"/>
          <w:lang w:val="uk-UA"/>
        </w:rPr>
        <w:t>ПРН 11. Розробляти проекти у сфері фінансів, банківської справи та страхування та управляти ними.</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sz w:val="24"/>
          <w:lang w:val="uk-UA"/>
        </w:rPr>
        <w:t>ПРН 14. Вміти обґрунтовувати напрями удосконалення фінансової і монетарної політики.</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sz w:val="24"/>
          <w:lang w:val="uk-UA"/>
        </w:rPr>
        <w:t>ПРН 15. Здійснювати діагностику і моделювання фінансової діяльності суб’єктів господарювання.</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sz w:val="24"/>
          <w:lang w:val="uk-UA"/>
        </w:rPr>
        <w:t>ПРН 21. Виявляти проблеми, визначати наукові завдання у сфері фінансів, банківської справи та страхування і обирати методи для їх розв’язання.</w:t>
      </w:r>
    </w:p>
    <w:p>
      <w:pPr>
        <w:spacing w:after="0"/>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1. 3. Згідно з вимогами освітньо-професійної програми студент оволодіває такими компетентностями: </w:t>
      </w:r>
    </w:p>
    <w:p>
      <w:pPr>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eastAsia="ru-RU"/>
        </w:rPr>
        <w:t xml:space="preserve">І. </w:t>
      </w:r>
      <w:r>
        <w:rPr>
          <w:rFonts w:ascii="Times New Roman" w:hAnsi="Times New Roman"/>
          <w:b/>
          <w:sz w:val="24"/>
          <w:szCs w:val="24"/>
          <w:lang w:val="uk-UA"/>
        </w:rPr>
        <w:t xml:space="preserve">Загальнопредметні </w:t>
      </w:r>
    </w:p>
    <w:p>
      <w:pPr>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ЗК5. Здатність до мотивації та досягнення спільної мети.</w:t>
      </w:r>
    </w:p>
    <w:p>
      <w:pPr>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ЗК8. Здатність розробляти проекти та управляти ними.</w:t>
      </w:r>
    </w:p>
    <w:p>
      <w:pPr>
        <w:spacing w:after="0" w:line="240" w:lineRule="auto"/>
        <w:ind w:right="356" w:firstLine="567"/>
        <w:jc w:val="both"/>
        <w:rPr>
          <w:rFonts w:ascii="Times New Roman" w:hAnsi="Times New Roman"/>
          <w:b/>
          <w:sz w:val="24"/>
          <w:szCs w:val="24"/>
          <w:lang w:val="uk-UA"/>
        </w:rPr>
      </w:pPr>
      <w:r>
        <w:rPr>
          <w:rFonts w:ascii="Times New Roman" w:hAnsi="Times New Roman" w:eastAsia="Times New Roman"/>
          <w:b/>
          <w:sz w:val="24"/>
          <w:szCs w:val="24"/>
          <w:lang w:val="uk-UA" w:eastAsia="ru-RU"/>
        </w:rPr>
        <w:t xml:space="preserve">ІІ. </w:t>
      </w:r>
      <w:r>
        <w:rPr>
          <w:rFonts w:ascii="Times New Roman" w:hAnsi="Times New Roman"/>
          <w:b/>
          <w:sz w:val="24"/>
          <w:szCs w:val="24"/>
          <w:lang w:val="uk-UA"/>
        </w:rPr>
        <w:t>Фахові</w:t>
      </w:r>
    </w:p>
    <w:p>
      <w:pPr>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ФК2. Здатність аналізувати фінансову і монетарну політику та обґрунтовувати напрями їх удосконалення.</w:t>
      </w:r>
    </w:p>
    <w:p>
      <w:pPr>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ФК3. Здатність використовувати теоретичний та методичний інструментарій для діагностики і моделювання фінансової діяльності суб’єктів господарювання.</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ФК6. Здатність демонструвати поглиблені знання у сфері фінансового, банківського, страхового, інвестиційного та податкового менеджменту.</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ФК9. Здатність розробляти завдання для проектування інформаційних систем в сфері фінансів, банківської справи та страхування.</w:t>
      </w:r>
    </w:p>
    <w:p>
      <w:pPr>
        <w:tabs>
          <w:tab w:val="left" w:pos="1418"/>
        </w:tabs>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b/>
          <w:sz w:val="24"/>
          <w:szCs w:val="24"/>
          <w:lang w:val="uk-UA" w:eastAsia="ru-RU"/>
        </w:rPr>
        <w:t>Програма виробничої</w:t>
      </w:r>
      <w:r>
        <w:rPr>
          <w:rFonts w:ascii="Times New Roman" w:hAnsi="Times New Roman" w:cs="Times New Roman"/>
          <w:b/>
          <w:sz w:val="24"/>
          <w:szCs w:val="24"/>
          <w:lang w:eastAsia="ru-RU"/>
        </w:rPr>
        <w:t xml:space="preserve"> практики</w:t>
      </w:r>
    </w:p>
    <w:p>
      <w:pPr>
        <w:tabs>
          <w:tab w:val="left" w:pos="284"/>
          <w:tab w:val="left" w:pos="567"/>
        </w:tabs>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 xml:space="preserve">Кредит 1. </w:t>
      </w:r>
      <w:r>
        <w:rPr>
          <w:rFonts w:ascii="Times New Roman" w:hAnsi="Times New Roman" w:eastAsia="Times New Roman" w:cs="Times New Roman"/>
          <w:sz w:val="24"/>
          <w:szCs w:val="24"/>
          <w:lang w:val="uk-UA" w:eastAsia="ru-RU"/>
        </w:rPr>
        <w:t xml:space="preserve">Ознайомлення з завданнями і метою виробничої практики </w:t>
      </w:r>
    </w:p>
    <w:p>
      <w:pPr>
        <w:tabs>
          <w:tab w:val="left" w:pos="284"/>
          <w:tab w:val="left" w:pos="567"/>
        </w:tabs>
        <w:spacing w:after="0" w:line="240" w:lineRule="auto"/>
        <w:ind w:firstLine="567"/>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2. </w:t>
      </w:r>
      <w:r>
        <w:rPr>
          <w:rFonts w:ascii="Times New Roman" w:hAnsi="Times New Roman" w:eastAsia="Times New Roman" w:cs="Times New Roman"/>
          <w:sz w:val="24"/>
          <w:szCs w:val="24"/>
          <w:lang w:val="uk-UA" w:eastAsia="ru-RU"/>
        </w:rPr>
        <w:t>Підписання договорів про проходження практики і складання рапорту про бази практик студентів</w:t>
      </w:r>
    </w:p>
    <w:p>
      <w:pPr>
        <w:tabs>
          <w:tab w:val="left" w:pos="284"/>
          <w:tab w:val="left" w:pos="567"/>
        </w:tabs>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 xml:space="preserve">Кредит 3. </w:t>
      </w:r>
      <w:r>
        <w:rPr>
          <w:rFonts w:ascii="Times New Roman" w:hAnsi="Times New Roman" w:eastAsia="Times New Roman" w:cs="Times New Roman"/>
          <w:sz w:val="24"/>
          <w:szCs w:val="24"/>
          <w:lang w:val="uk-UA" w:eastAsia="ru-RU"/>
        </w:rPr>
        <w:t xml:space="preserve">Інструктаж з правил безпечної поведінки під час проходження виробничої практики </w:t>
      </w:r>
    </w:p>
    <w:p>
      <w:pPr>
        <w:tabs>
          <w:tab w:val="left" w:pos="284"/>
          <w:tab w:val="left" w:pos="567"/>
        </w:tabs>
        <w:spacing w:after="0" w:line="240" w:lineRule="auto"/>
        <w:ind w:firstLine="567"/>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4. </w:t>
      </w:r>
      <w:r>
        <w:rPr>
          <w:rFonts w:ascii="Times New Roman" w:hAnsi="Times New Roman" w:eastAsia="Times New Roman" w:cs="Times New Roman"/>
          <w:sz w:val="24"/>
          <w:szCs w:val="24"/>
          <w:lang w:val="uk-UA" w:eastAsia="ru-RU"/>
        </w:rPr>
        <w:t>Знайомство з базою практики</w:t>
      </w:r>
    </w:p>
    <w:p>
      <w:pPr>
        <w:tabs>
          <w:tab w:val="left" w:pos="284"/>
          <w:tab w:val="left" w:pos="567"/>
        </w:tabs>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5. </w:t>
      </w:r>
      <w:r>
        <w:rPr>
          <w:rFonts w:ascii="Times New Roman" w:hAnsi="Times New Roman" w:eastAsia="Times New Roman" w:cs="Times New Roman"/>
          <w:sz w:val="24"/>
          <w:szCs w:val="24"/>
          <w:lang w:val="uk-UA" w:eastAsia="ru-RU"/>
        </w:rPr>
        <w:t>П</w:t>
      </w:r>
      <w:r>
        <w:rPr>
          <w:rFonts w:ascii="Times New Roman" w:hAnsi="Times New Roman" w:eastAsia="Times New Roman" w:cs="Times New Roman"/>
          <w:sz w:val="24"/>
          <w:szCs w:val="24"/>
          <w:lang w:val="uk-UA" w:eastAsia="uk-UA"/>
        </w:rPr>
        <w:t xml:space="preserve">ідбір та узагальнення необхідних даних (економічних, фінансових, бухгалтерських). </w:t>
      </w:r>
    </w:p>
    <w:p>
      <w:pPr>
        <w:tabs>
          <w:tab w:val="left" w:pos="284"/>
          <w:tab w:val="left" w:pos="567"/>
        </w:tabs>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 xml:space="preserve">Кредит 6. </w:t>
      </w:r>
      <w:r>
        <w:rPr>
          <w:rFonts w:ascii="Times New Roman" w:hAnsi="Times New Roman" w:eastAsia="Times New Roman" w:cs="Times New Roman"/>
          <w:sz w:val="24"/>
          <w:szCs w:val="24"/>
          <w:lang w:val="uk-UA" w:eastAsia="ru-RU"/>
        </w:rPr>
        <w:t>Виконання посадових обов’язків практиканта відповідно до поставлених завдань</w:t>
      </w:r>
    </w:p>
    <w:p>
      <w:pPr>
        <w:tabs>
          <w:tab w:val="left" w:pos="284"/>
          <w:tab w:val="left" w:pos="567"/>
        </w:tabs>
        <w:spacing w:after="0" w:line="240" w:lineRule="auto"/>
        <w:ind w:firstLine="567"/>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7. </w:t>
      </w:r>
      <w:r>
        <w:rPr>
          <w:rFonts w:ascii="Times New Roman" w:hAnsi="Times New Roman" w:eastAsia="Times New Roman" w:cs="Times New Roman"/>
          <w:sz w:val="24"/>
          <w:szCs w:val="24"/>
          <w:lang w:val="uk-UA" w:eastAsia="ru-RU"/>
        </w:rPr>
        <w:t>Консультування студентів та контроль за проходженням практики</w:t>
      </w:r>
    </w:p>
    <w:p>
      <w:pPr>
        <w:tabs>
          <w:tab w:val="left" w:pos="284"/>
          <w:tab w:val="left" w:pos="567"/>
        </w:tabs>
        <w:spacing w:after="0" w:line="240" w:lineRule="auto"/>
        <w:ind w:firstLine="567"/>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8. </w:t>
      </w:r>
      <w:r>
        <w:rPr>
          <w:rFonts w:ascii="Times New Roman" w:hAnsi="Times New Roman" w:eastAsia="Times New Roman" w:cs="Times New Roman"/>
          <w:sz w:val="24"/>
          <w:szCs w:val="24"/>
          <w:lang w:val="uk-UA" w:eastAsia="uk-UA"/>
        </w:rPr>
        <w:t>Оброблення та аналіз одержаної інформації, формування Звіту про практику, підписання всіх необхідних документів</w:t>
      </w:r>
    </w:p>
    <w:p>
      <w:pPr>
        <w:tabs>
          <w:tab w:val="left" w:pos="284"/>
          <w:tab w:val="left" w:pos="567"/>
        </w:tabs>
        <w:spacing w:after="0" w:line="240" w:lineRule="auto"/>
        <w:ind w:firstLine="567"/>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9. </w:t>
      </w:r>
      <w:r>
        <w:rPr>
          <w:rFonts w:ascii="Times New Roman" w:hAnsi="Times New Roman" w:eastAsia="Times New Roman" w:cs="Times New Roman"/>
          <w:sz w:val="24"/>
          <w:szCs w:val="24"/>
          <w:lang w:val="uk-UA" w:eastAsia="ru-RU"/>
        </w:rPr>
        <w:t xml:space="preserve">Захист Звітів про виробничу практику </w:t>
      </w:r>
    </w:p>
    <w:p>
      <w:pPr>
        <w:pStyle w:val="25"/>
        <w:tabs>
          <w:tab w:val="left" w:pos="1418"/>
        </w:tabs>
        <w:spacing w:after="0"/>
        <w:ind w:firstLine="567"/>
        <w:jc w:val="center"/>
        <w:rPr>
          <w:b/>
          <w:bCs/>
          <w:sz w:val="24"/>
          <w:u w:val="single"/>
          <w:lang w:val="uk-UA"/>
        </w:rPr>
      </w:pPr>
      <w:r>
        <w:rPr>
          <w:b/>
          <w:bCs/>
          <w:sz w:val="24"/>
          <w:u w:val="single"/>
          <w:lang w:val="uk-UA"/>
        </w:rPr>
        <w:t>1. Практика в органах Державної фіскальної служби України</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1</w:t>
      </w:r>
    </w:p>
    <w:p>
      <w:pPr>
        <w:pStyle w:val="44"/>
        <w:numPr>
          <w:ilvl w:val="0"/>
          <w:numId w:val="1"/>
        </w:numPr>
        <w:tabs>
          <w:tab w:val="left" w:pos="851"/>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Загальна характеристика державного податкового органу.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 xml:space="preserve">загальну структуру та функції системи органів ДФС. </w:t>
      </w: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особливості побудови органів ДФС України, права та обов'язки державних податкових органів відповідно до Податкового кодексу України. </w:t>
      </w: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 xml:space="preserve">особливості системи електронного документообігу в органах ДФС. </w:t>
      </w:r>
    </w:p>
    <w:p>
      <w:pPr>
        <w:tabs>
          <w:tab w:val="left" w:pos="1134"/>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 Управління інформатизації та обліку платників податків.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структуру управління (відділу).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Відділ обліку платників податків.</w:t>
      </w:r>
      <w:r>
        <w:rPr>
          <w:rFonts w:ascii="Times New Roman" w:hAnsi="Times New Roman" w:cs="Times New Roman"/>
          <w:sz w:val="24"/>
          <w:szCs w:val="24"/>
          <w:lang w:val="uk-UA"/>
        </w:rPr>
        <w:t xml:space="preserve">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Відділ приймання звітност</w:t>
      </w:r>
      <w:r>
        <w:rPr>
          <w:rFonts w:ascii="Times New Roman" w:hAnsi="Times New Roman" w:cs="Times New Roman"/>
          <w:sz w:val="24"/>
          <w:szCs w:val="24"/>
          <w:lang w:val="uk-UA"/>
        </w:rPr>
        <w:t xml:space="preserve">і. </w:t>
      </w:r>
    </w:p>
    <w:p>
      <w:pPr>
        <w:tabs>
          <w:tab w:val="left" w:pos="1418"/>
        </w:tab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3. Управління податкового контролю.</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загальну структуру управління</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податкового контролю, його функції та завдання. </w:t>
      </w:r>
      <w:r>
        <w:rPr>
          <w:rFonts w:ascii="Times New Roman" w:hAnsi="Times New Roman" w:cs="Times New Roman"/>
          <w:b/>
          <w:i/>
          <w:sz w:val="24"/>
          <w:szCs w:val="24"/>
          <w:lang w:val="uk-UA"/>
        </w:rPr>
        <w:t xml:space="preserve">Дослідити </w:t>
      </w:r>
      <w:r>
        <w:rPr>
          <w:rFonts w:ascii="Times New Roman" w:hAnsi="Times New Roman" w:cs="Times New Roman"/>
          <w:sz w:val="24"/>
          <w:szCs w:val="24"/>
          <w:lang w:val="uk-UA"/>
        </w:rPr>
        <w:t>особливості організації роботи з планування, проведення планових та позапланових документальних перевірок, зустрічних звірок, особливості проведення перевірок суб’єктів зовнішньо-економічної діяльності.</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2</w:t>
      </w:r>
    </w:p>
    <w:p>
      <w:pPr>
        <w:pStyle w:val="44"/>
        <w:numPr>
          <w:ilvl w:val="0"/>
          <w:numId w:val="2"/>
        </w:numPr>
        <w:tabs>
          <w:tab w:val="left" w:pos="851"/>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Управління оподаткування юридичних осіб.</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 xml:space="preserve">Вивчити: </w:t>
      </w:r>
      <w:r>
        <w:rPr>
          <w:rFonts w:ascii="Times New Roman" w:hAnsi="Times New Roman" w:cs="Times New Roman"/>
          <w:bCs/>
          <w:sz w:val="24"/>
          <w:szCs w:val="24"/>
          <w:lang w:val="uk-UA"/>
        </w:rPr>
        <w:t xml:space="preserve">загальну структуру управління, її основні завдання та функції. </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i/>
          <w:sz w:val="24"/>
          <w:szCs w:val="24"/>
          <w:lang w:val="uk-UA"/>
        </w:rPr>
        <w:t>Дослідити</w:t>
      </w:r>
      <w:r>
        <w:rPr>
          <w:rFonts w:ascii="Times New Roman" w:hAnsi="Times New Roman" w:cs="Times New Roman"/>
          <w:sz w:val="24"/>
          <w:szCs w:val="24"/>
          <w:lang w:val="uk-UA"/>
        </w:rPr>
        <w:t xml:space="preserve"> особливості організації роботи з</w:t>
      </w:r>
      <w:r>
        <w:rPr>
          <w:rFonts w:ascii="Times New Roman" w:hAnsi="Times New Roman" w:cs="Times New Roman"/>
          <w:bCs/>
          <w:sz w:val="24"/>
          <w:szCs w:val="24"/>
          <w:lang w:val="uk-UA"/>
        </w:rPr>
        <w:t xml:space="preserve"> проведення камеральних перевірок податкової звітності, оформлення результатів перевірок. </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Вивчити</w:t>
      </w:r>
      <w:r>
        <w:rPr>
          <w:rFonts w:ascii="Times New Roman" w:hAnsi="Times New Roman" w:cs="Times New Roman"/>
          <w:bCs/>
          <w:sz w:val="24"/>
          <w:szCs w:val="24"/>
          <w:lang w:val="uk-UA"/>
        </w:rPr>
        <w:t xml:space="preserve"> особливості організації контролю за повнотою декларування та сплати ресурсних та рентних платежів, організації інформаційної взаємодії з іншими структурами з питань контролю за повнотою нарахувань податків та платежів, організації роботи з аналізу рівня податкового навантаження платника податків та факторів що на нього впливають.</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sz w:val="24"/>
          <w:szCs w:val="24"/>
          <w:lang w:val="uk-UA"/>
        </w:rPr>
        <w:t>2.</w:t>
      </w:r>
      <w:r>
        <w:rPr>
          <w:rFonts w:ascii="Times New Roman" w:hAnsi="Times New Roman" w:cs="Times New Roman"/>
          <w:bCs/>
          <w:sz w:val="24"/>
          <w:szCs w:val="24"/>
          <w:lang w:val="uk-UA"/>
        </w:rPr>
        <w:t xml:space="preserve"> </w:t>
      </w:r>
      <w:r>
        <w:rPr>
          <w:rFonts w:ascii="Times New Roman" w:hAnsi="Times New Roman" w:cs="Times New Roman"/>
          <w:b/>
          <w:bCs/>
          <w:sz w:val="24"/>
          <w:szCs w:val="24"/>
          <w:lang w:val="uk-UA"/>
        </w:rPr>
        <w:t>Управління оподаткування фізичних осіб.</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Проаналізувати:</w:t>
      </w:r>
      <w:r>
        <w:rPr>
          <w:rFonts w:ascii="Times New Roman" w:hAnsi="Times New Roman" w:cs="Times New Roman"/>
          <w:bCs/>
          <w:sz w:val="24"/>
          <w:szCs w:val="24"/>
          <w:lang w:val="uk-UA"/>
        </w:rPr>
        <w:t xml:space="preserve"> організаційну структуру управління оподаткування фізичних осіб. </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 xml:space="preserve">Вивчити </w:t>
      </w:r>
      <w:r>
        <w:rPr>
          <w:rFonts w:ascii="Times New Roman" w:hAnsi="Times New Roman" w:cs="Times New Roman"/>
          <w:bCs/>
          <w:sz w:val="24"/>
          <w:szCs w:val="24"/>
          <w:lang w:val="uk-UA"/>
        </w:rPr>
        <w:t>особливості організації контролю за сплатою ПДФО податковими агентами, проаналізувати інформаційна базу аналізу сплати ПДФО, організації роботи з забезпечення декларування доходів громадян.</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Визначити</w:t>
      </w:r>
      <w:r>
        <w:rPr>
          <w:rFonts w:ascii="Times New Roman" w:hAnsi="Times New Roman" w:cs="Times New Roman"/>
          <w:bCs/>
          <w:sz w:val="24"/>
          <w:szCs w:val="24"/>
          <w:lang w:val="uk-UA"/>
        </w:rPr>
        <w:t xml:space="preserve"> сутність камерального та документального контролю за повнотою нарахувань та сплати ПДФО юридичними та фізичними особами, </w:t>
      </w:r>
      <w:r>
        <w:rPr>
          <w:rFonts w:ascii="Times New Roman" w:hAnsi="Times New Roman" w:cs="Times New Roman"/>
          <w:sz w:val="24"/>
          <w:szCs w:val="24"/>
          <w:lang w:val="uk-UA"/>
        </w:rPr>
        <w:t>організації контролю за платниками податків які перебувають на спрощеній системі оподаткування фізичних осіб підприємців в ДПІ.</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Провести аналіз</w:t>
      </w:r>
      <w:r>
        <w:rPr>
          <w:rFonts w:ascii="Times New Roman" w:hAnsi="Times New Roman" w:cs="Times New Roman"/>
          <w:sz w:val="24"/>
          <w:szCs w:val="24"/>
          <w:lang w:val="uk-UA"/>
        </w:rPr>
        <w:t xml:space="preserve"> по групах та сплаті до місцевих бюджетів.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основні напрями аналітичної роботи управління.</w:t>
      </w:r>
    </w:p>
    <w:p>
      <w:pPr>
        <w:tabs>
          <w:tab w:val="left" w:pos="1418"/>
        </w:tab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3. Управління (відділ) погашення податкового боргу.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Надати:</w:t>
      </w:r>
      <w:r>
        <w:rPr>
          <w:rFonts w:ascii="Times New Roman" w:hAnsi="Times New Roman" w:cs="Times New Roman"/>
          <w:sz w:val="24"/>
          <w:szCs w:val="24"/>
          <w:lang w:val="uk-UA"/>
        </w:rPr>
        <w:t xml:space="preserve"> загальну характеристику управління (відділу).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основні дії ДПІ по стягненню податкового боргу: інформування та надсилання податкових вимог, опис податкової застави, стягнення грошових коштів за рішенням суду, організація продажу майна боржника, продаж дебіторської заборгованості.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повноваження та права податкових керуючих.</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Дослідити:</w:t>
      </w:r>
      <w:r>
        <w:rPr>
          <w:rFonts w:ascii="Times New Roman" w:hAnsi="Times New Roman" w:cs="Times New Roman"/>
          <w:sz w:val="24"/>
          <w:szCs w:val="24"/>
          <w:lang w:val="uk-UA"/>
        </w:rPr>
        <w:t xml:space="preserve"> принципи та порядок взаємодії з виконавчою службою в процесі стягнення податкового боргу.</w:t>
      </w:r>
    </w:p>
    <w:p>
      <w:pPr>
        <w:tabs>
          <w:tab w:val="left" w:pos="1418"/>
        </w:tabs>
        <w:spacing w:after="0" w:line="240" w:lineRule="auto"/>
        <w:ind w:firstLine="567"/>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2. Практика в місцевих фінансових органах</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1</w:t>
      </w:r>
    </w:p>
    <w:p>
      <w:pPr>
        <w:tabs>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 Загальна характеристика місцевого фінансового органу.</w:t>
      </w:r>
    </w:p>
    <w:p>
      <w:pPr>
        <w:pStyle w:val="31"/>
        <w:tabs>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завдання, функції та права місцевого фінансового органу.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Визначити</w:t>
      </w:r>
      <w:r>
        <w:rPr>
          <w:rFonts w:ascii="Times New Roman" w:hAnsi="Times New Roman" w:cs="Times New Roman"/>
          <w:sz w:val="24"/>
          <w:szCs w:val="24"/>
          <w:lang w:val="uk-UA"/>
        </w:rPr>
        <w:t xml:space="preserve"> структуру управління і відобразити її схематично, </w:t>
      </w:r>
      <w:r>
        <w:rPr>
          <w:rFonts w:ascii="Times New Roman" w:hAnsi="Times New Roman" w:cs="Times New Roman"/>
          <w:b/>
          <w:i/>
          <w:sz w:val="24"/>
          <w:szCs w:val="24"/>
          <w:lang w:val="uk-UA"/>
        </w:rPr>
        <w:t>визначити</w:t>
      </w:r>
      <w:r>
        <w:rPr>
          <w:rFonts w:ascii="Times New Roman" w:hAnsi="Times New Roman" w:cs="Times New Roman"/>
          <w:sz w:val="24"/>
          <w:szCs w:val="24"/>
          <w:lang w:val="uk-UA"/>
        </w:rPr>
        <w:t xml:space="preserve"> порядок одержання інформації про виконання місцевого бюджету за доходами.</w:t>
      </w:r>
    </w:p>
    <w:p>
      <w:pPr>
        <w:tabs>
          <w:tab w:val="left" w:pos="1418"/>
        </w:tab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bCs/>
          <w:sz w:val="24"/>
          <w:szCs w:val="24"/>
          <w:lang w:val="uk-UA"/>
        </w:rPr>
        <w:t xml:space="preserve">2. Аналіз відділу </w:t>
      </w:r>
      <w:r>
        <w:rPr>
          <w:rFonts w:ascii="Times New Roman" w:hAnsi="Times New Roman" w:cs="Times New Roman"/>
          <w:b/>
          <w:sz w:val="24"/>
          <w:szCs w:val="24"/>
          <w:lang w:val="uk-UA"/>
        </w:rPr>
        <w:t xml:space="preserve">доходів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особливості організації роботи відділу, функціональні обов’язки його працівників.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Дати порівняльну характеристику</w:t>
      </w:r>
      <w:r>
        <w:rPr>
          <w:rFonts w:ascii="Times New Roman" w:hAnsi="Times New Roman" w:cs="Times New Roman"/>
          <w:sz w:val="24"/>
          <w:szCs w:val="24"/>
          <w:lang w:val="uk-UA"/>
        </w:rPr>
        <w:t xml:space="preserve"> складу доходів місцевого бюджету за минулий та поточний бюджетний періоди.</w:t>
      </w:r>
    </w:p>
    <w:p>
      <w:pPr>
        <w:tabs>
          <w:tab w:val="left" w:pos="1418"/>
        </w:tabs>
        <w:spacing w:after="0" w:line="240" w:lineRule="auto"/>
        <w:ind w:firstLine="567"/>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Вивчити методику:</w:t>
      </w:r>
    </w:p>
    <w:p>
      <w:pPr>
        <w:pStyle w:val="25"/>
        <w:numPr>
          <w:ilvl w:val="0"/>
          <w:numId w:val="3"/>
        </w:numPr>
        <w:tabs>
          <w:tab w:val="left" w:pos="1418"/>
        </w:tabs>
        <w:autoSpaceDE w:val="0"/>
        <w:autoSpaceDN w:val="0"/>
        <w:spacing w:after="0"/>
        <w:ind w:left="0" w:firstLine="567"/>
        <w:jc w:val="both"/>
        <w:rPr>
          <w:sz w:val="24"/>
          <w:lang w:val="uk-UA"/>
        </w:rPr>
      </w:pPr>
      <w:r>
        <w:rPr>
          <w:sz w:val="24"/>
          <w:lang w:val="uk-UA"/>
        </w:rPr>
        <w:t>розрахунку прогнозного обсягу доходів на плановий бюджетний період;</w:t>
      </w:r>
    </w:p>
    <w:p>
      <w:pPr>
        <w:numPr>
          <w:ilvl w:val="0"/>
          <w:numId w:val="3"/>
        </w:numPr>
        <w:tabs>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складання прогнозних розрахунків деяких видів доходів бюджетів різних рівнів;</w:t>
      </w:r>
    </w:p>
    <w:p>
      <w:pPr>
        <w:numPr>
          <w:ilvl w:val="0"/>
          <w:numId w:val="3"/>
        </w:numPr>
        <w:tabs>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аналізу та оцінки стану виконання доходів місцевих бюджетів в розрізі видів та відповідних адміністративно-територіальних одиниць;</w:t>
      </w:r>
    </w:p>
    <w:p>
      <w:pPr>
        <w:numPr>
          <w:ilvl w:val="0"/>
          <w:numId w:val="3"/>
        </w:numPr>
        <w:tabs>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розпису доходів бюджету по загальному та спеціальному фондах.</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стан надходження доходів до місцевого бюджету за звітний період та січень-лютий поточного року. </w:t>
      </w:r>
    </w:p>
    <w:p>
      <w:pPr>
        <w:tabs>
          <w:tab w:val="left" w:pos="1418"/>
        </w:tab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bCs/>
          <w:sz w:val="24"/>
          <w:szCs w:val="24"/>
          <w:lang w:val="uk-UA"/>
        </w:rPr>
        <w:t xml:space="preserve">3. Аналіз відділу </w:t>
      </w:r>
      <w:r>
        <w:rPr>
          <w:rFonts w:ascii="Times New Roman" w:hAnsi="Times New Roman" w:cs="Times New Roman"/>
          <w:b/>
          <w:sz w:val="24"/>
          <w:szCs w:val="24"/>
          <w:lang w:val="uk-UA"/>
        </w:rPr>
        <w:t>фінансів соціально-культурної сфери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особливості організації роботи відділу, функціональні обов’язки його працівників, інструкції з підготовки бюджетних запитів.</w:t>
      </w:r>
    </w:p>
    <w:p>
      <w:pPr>
        <w:tabs>
          <w:tab w:val="left" w:pos="900"/>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складання та подання бюджетного запиту, кошторису та плану асигнувань.</w:t>
      </w:r>
    </w:p>
    <w:p>
      <w:pPr>
        <w:tabs>
          <w:tab w:val="left" w:pos="900"/>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особливості звітності про виконання місцевого бюджету, а також бюджетів нижчого рівня по галузях соціально-культурної сфери, ознайомитися зі  звітом по мережі, штатах і контингентах бюджетних установ соціально-культурної сфери.</w:t>
      </w:r>
    </w:p>
    <w:p>
      <w:pPr>
        <w:tabs>
          <w:tab w:val="left" w:pos="900"/>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Проаналізувати </w:t>
      </w:r>
      <w:r>
        <w:rPr>
          <w:rFonts w:ascii="Times New Roman" w:hAnsi="Times New Roman" w:cs="Times New Roman"/>
          <w:sz w:val="24"/>
          <w:szCs w:val="24"/>
          <w:lang w:val="uk-UA"/>
        </w:rPr>
        <w:t>стан використання коштів місцевого бюджету на утримання установ соціально-культурної сфери населення за минулий та поточний бюджетний періоди.</w:t>
      </w:r>
    </w:p>
    <w:p>
      <w:pPr>
        <w:tabs>
          <w:tab w:val="left" w:pos="900"/>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Дослідити:</w:t>
      </w:r>
      <w:r>
        <w:rPr>
          <w:rFonts w:ascii="Times New Roman" w:hAnsi="Times New Roman" w:cs="Times New Roman"/>
          <w:sz w:val="24"/>
          <w:szCs w:val="24"/>
          <w:lang w:val="uk-UA"/>
        </w:rPr>
        <w:t xml:space="preserve"> порядок надання та використання субвенцій із Державного бюджету України (обласного) на здійснення державних програм соціального захисту.</w:t>
      </w:r>
    </w:p>
    <w:p>
      <w:pPr>
        <w:tabs>
          <w:tab w:val="left" w:pos="1418"/>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4. Аналіз відділу </w:t>
      </w:r>
      <w:r>
        <w:rPr>
          <w:rFonts w:ascii="Times New Roman" w:hAnsi="Times New Roman" w:cs="Times New Roman"/>
          <w:b/>
          <w:sz w:val="24"/>
          <w:szCs w:val="24"/>
          <w:lang w:val="uk-UA"/>
        </w:rPr>
        <w:t xml:space="preserve">фінансів виробничої сфери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особливості організації роботи відділу, функціональні обов’язки його працівників, ознайомитись із інструкціями з підготовки бюджетних запитів по галузях виробничої сфери.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порядок фінансування заходів, що фінансуються з місцевого бюджету.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 порядок перевірки правильності складання і затвердження кошторисів та планів використання коштів підприємствами, організаціями, що фінансуються з місцевого бюджету; - пропозиції про обмеження або припинення фінансування з місцевого бюджету підприємств, установ та організацій при наявності фактів незаконного і нецільового використання ними бюджетних коштів; - порядок надання та використання субвенцій із Державного бюджету України (обласного).</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Визначити </w:t>
      </w:r>
      <w:r>
        <w:rPr>
          <w:rFonts w:ascii="Times New Roman" w:hAnsi="Times New Roman" w:cs="Times New Roman"/>
          <w:sz w:val="24"/>
          <w:szCs w:val="24"/>
          <w:lang w:val="uk-UA"/>
        </w:rPr>
        <w:t xml:space="preserve">джерела надходжень та видатки бюджету розвитку місцевого бюджету за минулий та поточний бюджетний періоди.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порядок використання коштів бюджету розвитку.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5. Аналіз відділу </w:t>
      </w:r>
      <w:r>
        <w:rPr>
          <w:rFonts w:ascii="Times New Roman" w:hAnsi="Times New Roman" w:cs="Times New Roman"/>
          <w:b/>
          <w:sz w:val="24"/>
          <w:szCs w:val="24"/>
          <w:lang w:val="uk-UA"/>
        </w:rPr>
        <w:t>зведеного бюджету та міжбюджетних відносин.</w:t>
      </w:r>
    </w:p>
    <w:p>
      <w:pPr>
        <w:tabs>
          <w:tab w:val="left" w:pos="1418"/>
        </w:tabs>
        <w:spacing w:after="0" w:line="240" w:lineRule="auto"/>
        <w:ind w:firstLine="567"/>
        <w:jc w:val="both"/>
        <w:rPr>
          <w:rStyle w:val="64"/>
          <w:sz w:val="24"/>
          <w:szCs w:val="24"/>
          <w:lang w:val="uk-UA" w:eastAsia="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особливості організації роботи відділу, функціональні обов’язки його працівників.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порядком </w:t>
      </w:r>
      <w:r>
        <w:rPr>
          <w:rStyle w:val="64"/>
          <w:sz w:val="24"/>
          <w:szCs w:val="24"/>
          <w:lang w:val="uk-UA" w:eastAsia="uk-UA"/>
        </w:rPr>
        <w:t>складання річного розпису доходів, видатків і кредитування бюджету та помісячного розпису асигнувань загального фонду бюджету.</w:t>
      </w:r>
    </w:p>
    <w:p>
      <w:pPr>
        <w:tabs>
          <w:tab w:val="left" w:pos="1418"/>
        </w:tabs>
        <w:spacing w:after="0" w:line="240" w:lineRule="auto"/>
        <w:ind w:firstLine="567"/>
        <w:jc w:val="both"/>
        <w:rPr>
          <w:rStyle w:val="64"/>
          <w:sz w:val="24"/>
          <w:szCs w:val="24"/>
          <w:lang w:val="uk-UA" w:eastAsia="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основні етапи організації роботи із</w:t>
      </w:r>
      <w:r>
        <w:rPr>
          <w:rStyle w:val="64"/>
          <w:sz w:val="24"/>
          <w:szCs w:val="24"/>
          <w:lang w:val="uk-UA" w:eastAsia="uk-UA"/>
        </w:rPr>
        <w:t xml:space="preserve"> формування та виконання місцевих бюджетів. Скласти бюджетний календар.</w:t>
      </w:r>
    </w:p>
    <w:p>
      <w:pPr>
        <w:tabs>
          <w:tab w:val="left" w:pos="1418"/>
        </w:tabs>
        <w:spacing w:after="0" w:line="240" w:lineRule="auto"/>
        <w:ind w:firstLine="567"/>
        <w:jc w:val="both"/>
        <w:rPr>
          <w:rFonts w:ascii="Times New Roman" w:hAnsi="Times New Roman" w:cs="Times New Roman"/>
          <w:sz w:val="24"/>
          <w:szCs w:val="24"/>
          <w:lang w:val="uk-UA"/>
        </w:rPr>
      </w:pPr>
      <w:r>
        <w:rPr>
          <w:rStyle w:val="64"/>
          <w:b/>
          <w:i/>
          <w:sz w:val="24"/>
          <w:szCs w:val="24"/>
          <w:lang w:val="uk-UA" w:eastAsia="uk-UA"/>
        </w:rPr>
        <w:t>Вивчити</w:t>
      </w:r>
      <w:r>
        <w:rPr>
          <w:rStyle w:val="64"/>
          <w:sz w:val="24"/>
          <w:szCs w:val="24"/>
          <w:lang w:val="uk-UA" w:eastAsia="uk-UA"/>
        </w:rPr>
        <w:t xml:space="preserve"> методику визначення та механізм </w:t>
      </w:r>
      <w:r>
        <w:rPr>
          <w:rFonts w:ascii="Times New Roman" w:hAnsi="Times New Roman" w:cs="Times New Roman"/>
          <w:sz w:val="24"/>
          <w:szCs w:val="24"/>
          <w:lang w:val="uk-UA"/>
        </w:rPr>
        <w:t xml:space="preserve">перерахування місцевим бюджетам міжбюджетних трансфертів (базової, додаткових дотацій та субвенцій та реверсної дотації).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річним, квартальним та місячним звітами про виконання бюджету за минулий та поточний бюджетний періоди.</w:t>
      </w:r>
    </w:p>
    <w:p>
      <w:pPr>
        <w:tabs>
          <w:tab w:val="left" w:pos="900"/>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кредиторську та дебіторську заборгованості по бюджетних установах, які фінансуються з відповідного бюджету (звіт – форм  № 7).</w:t>
      </w:r>
    </w:p>
    <w:p>
      <w:pPr>
        <w:pStyle w:val="10"/>
        <w:tabs>
          <w:tab w:val="left" w:pos="851"/>
          <w:tab w:val="left" w:pos="1418"/>
        </w:tabs>
        <w:spacing w:before="0" w:line="240" w:lineRule="auto"/>
        <w:ind w:firstLine="567"/>
        <w:jc w:val="center"/>
        <w:rPr>
          <w:rFonts w:ascii="Times New Roman" w:hAnsi="Times New Roman" w:cs="Times New Roman"/>
          <w:b/>
          <w:i w:val="0"/>
          <w:iCs w:val="0"/>
          <w:color w:val="auto"/>
          <w:sz w:val="24"/>
          <w:szCs w:val="24"/>
          <w:u w:val="single"/>
          <w:lang w:val="uk-UA"/>
        </w:rPr>
      </w:pPr>
      <w:r>
        <w:rPr>
          <w:rFonts w:ascii="Times New Roman" w:hAnsi="Times New Roman" w:cs="Times New Roman"/>
          <w:b/>
          <w:i w:val="0"/>
          <w:iCs w:val="0"/>
          <w:color w:val="auto"/>
          <w:sz w:val="24"/>
          <w:szCs w:val="24"/>
          <w:u w:val="single"/>
          <w:lang w:val="uk-UA"/>
        </w:rPr>
        <w:t xml:space="preserve">3. Практика в територіальних органах </w:t>
      </w:r>
    </w:p>
    <w:p>
      <w:pPr>
        <w:pStyle w:val="10"/>
        <w:tabs>
          <w:tab w:val="left" w:pos="851"/>
          <w:tab w:val="left" w:pos="1418"/>
        </w:tabs>
        <w:spacing w:before="0" w:line="240" w:lineRule="auto"/>
        <w:ind w:firstLine="567"/>
        <w:jc w:val="center"/>
        <w:rPr>
          <w:rFonts w:ascii="Times New Roman" w:hAnsi="Times New Roman" w:cs="Times New Roman"/>
          <w:b/>
          <w:bCs/>
          <w:i w:val="0"/>
          <w:color w:val="auto"/>
          <w:sz w:val="24"/>
          <w:szCs w:val="24"/>
          <w:u w:val="single"/>
          <w:lang w:val="uk-UA"/>
        </w:rPr>
      </w:pPr>
      <w:r>
        <w:rPr>
          <w:rFonts w:ascii="Times New Roman" w:hAnsi="Times New Roman" w:cs="Times New Roman"/>
          <w:b/>
          <w:bCs/>
          <w:i w:val="0"/>
          <w:color w:val="auto"/>
          <w:sz w:val="24"/>
          <w:szCs w:val="24"/>
          <w:u w:val="single"/>
          <w:lang w:val="uk-UA"/>
        </w:rPr>
        <w:t>Державної казначейської служби України</w:t>
      </w:r>
    </w:p>
    <w:p>
      <w:pPr>
        <w:tabs>
          <w:tab w:val="left" w:pos="851"/>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1</w:t>
      </w:r>
    </w:p>
    <w:p>
      <w:pPr>
        <w:tabs>
          <w:tab w:val="left" w:pos="851"/>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Під час проходження практики студент повинен ознайомитись з передумовами і необхідністю створення інституту </w:t>
      </w:r>
      <w:r>
        <w:rPr>
          <w:rFonts w:ascii="Times New Roman" w:hAnsi="Times New Roman" w:cs="Times New Roman"/>
          <w:bCs/>
          <w:sz w:val="24"/>
          <w:szCs w:val="24"/>
          <w:lang w:val="uk-UA"/>
        </w:rPr>
        <w:t>Державної казначейської служби України (</w:t>
      </w:r>
      <w:r>
        <w:rPr>
          <w:rFonts w:ascii="Times New Roman" w:hAnsi="Times New Roman" w:cs="Times New Roman"/>
          <w:sz w:val="24"/>
          <w:szCs w:val="24"/>
          <w:lang w:val="uk-UA"/>
        </w:rPr>
        <w:t>ДКС</w:t>
      </w:r>
      <w:r>
        <w:rPr>
          <w:rFonts w:ascii="Times New Roman" w:hAnsi="Times New Roman" w:cs="Times New Roman"/>
          <w:bCs/>
          <w:sz w:val="24"/>
          <w:szCs w:val="24"/>
          <w:lang w:val="uk-UA"/>
        </w:rPr>
        <w:t>).</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структуру органів </w:t>
      </w:r>
      <w:r>
        <w:rPr>
          <w:rFonts w:ascii="Times New Roman" w:hAnsi="Times New Roman" w:cs="Times New Roman"/>
          <w:bCs/>
          <w:sz w:val="24"/>
          <w:szCs w:val="24"/>
          <w:lang w:val="uk-UA"/>
        </w:rPr>
        <w:t xml:space="preserve">ДКС </w:t>
      </w:r>
      <w:r>
        <w:rPr>
          <w:rFonts w:ascii="Times New Roman" w:hAnsi="Times New Roman" w:cs="Times New Roman"/>
          <w:sz w:val="24"/>
          <w:szCs w:val="24"/>
          <w:lang w:val="uk-UA"/>
        </w:rPr>
        <w:t>центрального рівня, обласних управлінь та відділень</w:t>
      </w:r>
      <w:r>
        <w:rPr>
          <w:rFonts w:ascii="Times New Roman" w:hAnsi="Times New Roman" w:cs="Times New Roman"/>
          <w:bCs/>
          <w:sz w:val="24"/>
          <w:szCs w:val="24"/>
          <w:lang w:val="uk-UA"/>
        </w:rPr>
        <w:t>,</w:t>
      </w:r>
      <w:r>
        <w:rPr>
          <w:rFonts w:ascii="Times New Roman" w:hAnsi="Times New Roman" w:cs="Times New Roman"/>
          <w:sz w:val="24"/>
          <w:szCs w:val="24"/>
          <w:lang w:val="uk-UA"/>
        </w:rPr>
        <w:t xml:space="preserve"> функції органів, їх права та обов’язки.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повернення помилково або надміру сплачених платежів до бюджету, порядок відшкодування податку на додану вартість на підставі висновків податкових органів, рішень судових органів та інших органів, що здійснюють контроль за нарахуванням та сплатою платежів.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взаємодії між фіскальними органами та </w:t>
      </w:r>
      <w:r>
        <w:rPr>
          <w:rFonts w:ascii="Times New Roman" w:hAnsi="Times New Roman" w:cs="Times New Roman"/>
          <w:bCs/>
          <w:sz w:val="24"/>
          <w:szCs w:val="24"/>
          <w:lang w:val="uk-UA"/>
        </w:rPr>
        <w:t>ДКС</w:t>
      </w:r>
      <w:r>
        <w:rPr>
          <w:rFonts w:ascii="Times New Roman" w:hAnsi="Times New Roman" w:cs="Times New Roman"/>
          <w:sz w:val="24"/>
          <w:szCs w:val="24"/>
          <w:lang w:val="uk-UA"/>
        </w:rPr>
        <w:t xml:space="preserve"> в процесі судового розгляду та виконання рішень суду щодо безспірного списання коштів з рахунків, на яких обліковуються надходження державного бюджету з податку на додану вартість, </w:t>
      </w:r>
      <w:r>
        <w:rPr>
          <w:rFonts w:ascii="Times New Roman" w:hAnsi="Times New Roman" w:cs="Times New Roman"/>
          <w:b/>
          <w:i/>
          <w:sz w:val="24"/>
          <w:szCs w:val="24"/>
          <w:lang w:val="uk-UA"/>
        </w:rPr>
        <w:t>вивчити порядо</w:t>
      </w:r>
      <w:r>
        <w:rPr>
          <w:rFonts w:ascii="Times New Roman" w:hAnsi="Times New Roman" w:cs="Times New Roman"/>
          <w:sz w:val="24"/>
          <w:szCs w:val="24"/>
          <w:lang w:val="uk-UA"/>
        </w:rPr>
        <w:t>к здійснення розрахунків за міжбюджетними трансфертами та перерахування їх до відповідних бюджетів.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 особливості</w:t>
      </w:r>
      <w:r>
        <w:rPr>
          <w:rFonts w:ascii="Times New Roman" w:hAnsi="Times New Roman" w:cs="Times New Roman"/>
          <w:sz w:val="24"/>
          <w:szCs w:val="24"/>
          <w:lang w:val="uk-UA"/>
        </w:rPr>
        <w:t xml:space="preserve">  організації роботи по обліку надходжень коштів до державного та місцевих бюджетів відповідно до Плану рахунків бухгалтерського обліку виконання державного та місцевих бюджетів.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Засвоїти </w:t>
      </w:r>
      <w:r>
        <w:rPr>
          <w:rFonts w:ascii="Times New Roman" w:hAnsi="Times New Roman" w:cs="Times New Roman"/>
          <w:sz w:val="24"/>
          <w:szCs w:val="24"/>
          <w:lang w:val="uk-UA"/>
        </w:rPr>
        <w:t xml:space="preserve">порядок розподілу та зарахування платежів до державного бюджету відповідно до нормативів відрахувань, затверджених законом України про державний бюджет України на відповідний рік та перерахування за належністю розподілені кошти. </w:t>
      </w:r>
      <w:r>
        <w:rPr>
          <w:rFonts w:ascii="Times New Roman" w:hAnsi="Times New Roman" w:cs="Times New Roman"/>
          <w:b/>
          <w:i/>
          <w:sz w:val="24"/>
          <w:szCs w:val="24"/>
          <w:lang w:val="uk-UA"/>
        </w:rPr>
        <w:t>Засвоїти</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 xml:space="preserve">порядок розподілу платежів між рівнями місцевих бюджетів згідно нормативних відрахувань, визначених Бюджетним кодексом України та рішеннями місцевих рад про бюджет, </w:t>
      </w:r>
      <w:r>
        <w:rPr>
          <w:rFonts w:ascii="Times New Roman" w:hAnsi="Times New Roman" w:cs="Times New Roman"/>
          <w:b/>
          <w:i/>
          <w:sz w:val="24"/>
          <w:szCs w:val="24"/>
          <w:lang w:val="uk-UA"/>
        </w:rPr>
        <w:t>засвоїти</w:t>
      </w:r>
      <w:r>
        <w:rPr>
          <w:rFonts w:ascii="Times New Roman" w:hAnsi="Times New Roman" w:cs="Times New Roman"/>
          <w:sz w:val="24"/>
          <w:szCs w:val="24"/>
          <w:lang w:val="uk-UA"/>
        </w:rPr>
        <w:t xml:space="preserve"> порядок розподілу інших платежів, що зараховуються до місцевих бюджетів у розмірах, визначених законодавством та їх перерахування.</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Прийняти участь</w:t>
      </w:r>
      <w:r>
        <w:rPr>
          <w:rFonts w:ascii="Times New Roman" w:hAnsi="Times New Roman" w:cs="Times New Roman"/>
          <w:sz w:val="24"/>
          <w:szCs w:val="24"/>
          <w:lang w:val="uk-UA"/>
        </w:rPr>
        <w:t xml:space="preserve"> у підготовці звернень до ДКС про підкріплення рахунків по загальному і спеціальному фондах у випадку нестачі коштів на них, </w:t>
      </w:r>
      <w:r>
        <w:rPr>
          <w:rFonts w:ascii="Times New Roman" w:hAnsi="Times New Roman" w:cs="Times New Roman"/>
          <w:b/>
          <w:i/>
          <w:sz w:val="24"/>
          <w:szCs w:val="24"/>
          <w:lang w:val="uk-UA"/>
        </w:rPr>
        <w:t>прийняти участь</w:t>
      </w:r>
      <w:r>
        <w:rPr>
          <w:rFonts w:ascii="Times New Roman" w:hAnsi="Times New Roman" w:cs="Times New Roman"/>
          <w:sz w:val="24"/>
          <w:szCs w:val="24"/>
          <w:lang w:val="uk-UA"/>
        </w:rPr>
        <w:t xml:space="preserve"> у нарахуванні дотації, яка надається обласному та районним бюджетам за рахунок коштів державного бюджету, </w:t>
      </w:r>
      <w:r>
        <w:rPr>
          <w:rFonts w:ascii="Times New Roman" w:hAnsi="Times New Roman" w:cs="Times New Roman"/>
          <w:b/>
          <w:i/>
          <w:sz w:val="24"/>
          <w:szCs w:val="24"/>
          <w:lang w:val="uk-UA"/>
        </w:rPr>
        <w:t>прийняти участь</w:t>
      </w:r>
      <w:r>
        <w:rPr>
          <w:rFonts w:ascii="Times New Roman" w:hAnsi="Times New Roman" w:cs="Times New Roman"/>
          <w:sz w:val="24"/>
          <w:szCs w:val="24"/>
          <w:lang w:val="uk-UA"/>
        </w:rPr>
        <w:t xml:space="preserve"> у проведенні щоденного аналізу надходжень та залишків коштів на рахунках розпорядників коштів державного бюджету.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Провести аналіз</w:t>
      </w:r>
      <w:r>
        <w:rPr>
          <w:rFonts w:ascii="Times New Roman" w:hAnsi="Times New Roman" w:cs="Times New Roman"/>
          <w:sz w:val="24"/>
          <w:szCs w:val="24"/>
          <w:lang w:val="uk-UA"/>
        </w:rPr>
        <w:t xml:space="preserve"> стану за відшкодуванням податку на додану вартість та недоїмки по державному і місцевих бюджетах.</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Опрацювати</w:t>
      </w:r>
      <w:r>
        <w:rPr>
          <w:rFonts w:ascii="Times New Roman" w:hAnsi="Times New Roman" w:cs="Times New Roman"/>
          <w:sz w:val="24"/>
          <w:szCs w:val="24"/>
          <w:lang w:val="uk-UA"/>
        </w:rPr>
        <w:t xml:space="preserve"> порядок відшкодування витрат державного бюджету за іноземними кредитами наданими під гарантію уряду.</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проходження практики студент повинен засвоїти порядок приймання від розпорядників коштів ІІ ступеня розподілів коштів та доведення їх до розпорядників ІІІ ступеня.</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Прийняти участь</w:t>
      </w:r>
      <w:r>
        <w:rPr>
          <w:rFonts w:ascii="Times New Roman" w:hAnsi="Times New Roman" w:cs="Times New Roman"/>
          <w:sz w:val="24"/>
          <w:szCs w:val="24"/>
          <w:lang w:val="uk-UA"/>
        </w:rPr>
        <w:t xml:space="preserve"> у формуванні реєстрів та розпоряджень на здійснення видатків для відділень </w:t>
      </w:r>
      <w:r>
        <w:rPr>
          <w:rFonts w:ascii="Times New Roman" w:hAnsi="Times New Roman" w:cs="Times New Roman"/>
          <w:bCs/>
          <w:sz w:val="24"/>
          <w:szCs w:val="24"/>
          <w:lang w:val="uk-UA"/>
        </w:rPr>
        <w:t>ДКС</w:t>
      </w: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прийняти участь</w:t>
      </w:r>
      <w:r>
        <w:rPr>
          <w:rFonts w:ascii="Times New Roman" w:hAnsi="Times New Roman" w:cs="Times New Roman"/>
          <w:sz w:val="24"/>
          <w:szCs w:val="24"/>
          <w:lang w:val="uk-UA"/>
        </w:rPr>
        <w:t xml:space="preserve"> у формуванні розпису видатків і мережі по розпорядниках коштів, </w:t>
      </w:r>
      <w:r>
        <w:rPr>
          <w:rFonts w:ascii="Times New Roman" w:hAnsi="Times New Roman" w:cs="Times New Roman"/>
          <w:b/>
          <w:i/>
          <w:sz w:val="24"/>
          <w:szCs w:val="24"/>
          <w:lang w:val="uk-UA"/>
        </w:rPr>
        <w:t>прийняти участь</w:t>
      </w:r>
      <w:r>
        <w:rPr>
          <w:rFonts w:ascii="Times New Roman" w:hAnsi="Times New Roman" w:cs="Times New Roman"/>
          <w:sz w:val="24"/>
          <w:szCs w:val="24"/>
          <w:lang w:val="uk-UA"/>
        </w:rPr>
        <w:t xml:space="preserve"> у проведенні перевірки стану виконання в органах ДКС вимог чинного законодавства України та внутрівідомчих нормативних актів у процесі касового виконання державного та місцевих бюджетів.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 xml:space="preserve">порядок оплати рахунків та перерахування коштів розпорядникам та одержувачам, вивчити порядок ведення обліку зобов’язань та фінансових зобов’язань розпорядниками коштів, вивчити порядок проведення щоденного моніторингу фінансового стану консолідованого балансу управління ДКС та прогнозу фінансових потоків,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укладання договорів з розпорядниками коштів на розрахунково-касове обслуговування, відкриття особових та реєстраційних рахунків, надання всіх послуг з розрахунково-касового обслуговування,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арешту реєстраційних рахунків розпорядників коштів та безспірного списання коштів з цих рахунків згідно з постановами державної виконавчої служби.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Ознайомитися</w:t>
      </w:r>
      <w:r>
        <w:rPr>
          <w:rFonts w:ascii="Times New Roman" w:hAnsi="Times New Roman" w:cs="Times New Roman"/>
          <w:sz w:val="24"/>
          <w:szCs w:val="24"/>
          <w:lang w:val="uk-UA"/>
        </w:rPr>
        <w:t xml:space="preserve"> з формуванням бази даних мережі розпорядників коштів місцевих бюджетів,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роботою регіональної розрахункової палати управління, відділу інформаційних технологій та телекомунікацій, відділу захисту інформації управління, відділу прикладного програмного забезпечення та юридичного відділу.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Засвоїти</w:t>
      </w:r>
      <w:r>
        <w:rPr>
          <w:rFonts w:ascii="Times New Roman" w:hAnsi="Times New Roman" w:cs="Times New Roman"/>
          <w:sz w:val="24"/>
          <w:szCs w:val="24"/>
          <w:lang w:val="uk-UA"/>
        </w:rPr>
        <w:t xml:space="preserve"> порядок формування розпоряджень на виділення коштів загального фонду місцевих бюджетів в розрізі головних розпорядників коштів на підставі календарного плану проведення видатків, </w:t>
      </w:r>
      <w:r>
        <w:rPr>
          <w:rFonts w:ascii="Times New Roman" w:hAnsi="Times New Roman" w:cs="Times New Roman"/>
          <w:b/>
          <w:i/>
          <w:sz w:val="24"/>
          <w:szCs w:val="24"/>
          <w:lang w:val="uk-UA"/>
        </w:rPr>
        <w:t>засвоїти</w:t>
      </w:r>
      <w:r>
        <w:rPr>
          <w:rFonts w:ascii="Times New Roman" w:hAnsi="Times New Roman" w:cs="Times New Roman"/>
          <w:sz w:val="24"/>
          <w:szCs w:val="24"/>
          <w:lang w:val="uk-UA"/>
        </w:rPr>
        <w:t xml:space="preserve"> методи розрахунків наявного та прогнозного стану платіжної спроможності управління та відділень, </w:t>
      </w:r>
      <w:r>
        <w:rPr>
          <w:rFonts w:ascii="Times New Roman" w:hAnsi="Times New Roman" w:cs="Times New Roman"/>
          <w:b/>
          <w:i/>
          <w:sz w:val="24"/>
          <w:szCs w:val="24"/>
          <w:lang w:val="uk-UA"/>
        </w:rPr>
        <w:t>засвоїти</w:t>
      </w:r>
      <w:r>
        <w:rPr>
          <w:rFonts w:ascii="Times New Roman" w:hAnsi="Times New Roman" w:cs="Times New Roman"/>
          <w:sz w:val="24"/>
          <w:szCs w:val="24"/>
          <w:lang w:val="uk-UA"/>
        </w:rPr>
        <w:t xml:space="preserve"> методику організації та проведення внутрівідомчого контролю в управлінні та територіальних органах казначейства, </w:t>
      </w:r>
      <w:r>
        <w:rPr>
          <w:rFonts w:ascii="Times New Roman" w:hAnsi="Times New Roman" w:cs="Times New Roman"/>
          <w:b/>
          <w:i/>
          <w:sz w:val="24"/>
          <w:szCs w:val="24"/>
          <w:lang w:val="uk-UA"/>
        </w:rPr>
        <w:t>засвоїти</w:t>
      </w:r>
      <w:r>
        <w:rPr>
          <w:rFonts w:ascii="Times New Roman" w:hAnsi="Times New Roman" w:cs="Times New Roman"/>
          <w:sz w:val="24"/>
          <w:szCs w:val="24"/>
          <w:lang w:val="uk-UA"/>
        </w:rPr>
        <w:t xml:space="preserve"> порядок складання касової заявки, організацію роботи отриманню розпорядниками коштів готівки та проведення розрахунку зі встановлення ліміту готівки в касі.</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Опрацювати</w:t>
      </w:r>
      <w:r>
        <w:rPr>
          <w:rFonts w:ascii="Times New Roman" w:hAnsi="Times New Roman" w:cs="Times New Roman"/>
          <w:sz w:val="24"/>
          <w:szCs w:val="24"/>
          <w:lang w:val="uk-UA"/>
        </w:rPr>
        <w:t xml:space="preserve"> порядок надання місцевим бюджетам короткотермінових позичок на покриття тимчасових касових розривів між доходами і видатками, </w:t>
      </w:r>
      <w:r>
        <w:rPr>
          <w:rFonts w:ascii="Times New Roman" w:hAnsi="Times New Roman" w:cs="Times New Roman"/>
          <w:b/>
          <w:i/>
          <w:sz w:val="24"/>
          <w:szCs w:val="24"/>
          <w:lang w:val="uk-UA"/>
        </w:rPr>
        <w:t>опрацювати</w:t>
      </w:r>
      <w:r>
        <w:rPr>
          <w:rFonts w:ascii="Times New Roman" w:hAnsi="Times New Roman" w:cs="Times New Roman"/>
          <w:sz w:val="24"/>
          <w:szCs w:val="24"/>
          <w:lang w:val="uk-UA"/>
        </w:rPr>
        <w:t xml:space="preserve"> вимоги про порядок складання бухгалтерської звітності, ведення обліку за доходами та видатками державного та місцевих бюджетів.</w:t>
      </w:r>
    </w:p>
    <w:p>
      <w:pPr>
        <w:pStyle w:val="58"/>
        <w:tabs>
          <w:tab w:val="left" w:pos="1418"/>
        </w:tabs>
        <w:spacing w:line="240" w:lineRule="auto"/>
        <w:rPr>
          <w:bCs/>
          <w:color w:val="auto"/>
          <w:sz w:val="24"/>
          <w:szCs w:val="24"/>
        </w:rPr>
      </w:pPr>
      <w:r>
        <w:rPr>
          <w:color w:val="auto"/>
          <w:sz w:val="24"/>
          <w:szCs w:val="24"/>
        </w:rPr>
        <w:t xml:space="preserve">4.  </w:t>
      </w:r>
      <w:r>
        <w:rPr>
          <w:bCs/>
          <w:color w:val="auto"/>
          <w:sz w:val="24"/>
          <w:szCs w:val="24"/>
        </w:rPr>
        <w:t>Практика в органах загальнообов’язкового державного соціального страхування</w:t>
      </w:r>
    </w:p>
    <w:p>
      <w:pPr>
        <w:shd w:val="clear" w:color="auto" w:fill="FFFFFF"/>
        <w:tabs>
          <w:tab w:val="left" w:pos="1418"/>
        </w:tabs>
        <w:spacing w:after="0" w:line="240" w:lineRule="auto"/>
        <w:ind w:firstLine="567"/>
        <w:jc w:val="center"/>
        <w:rPr>
          <w:rFonts w:ascii="Times New Roman" w:hAnsi="Times New Roman" w:cs="Times New Roman"/>
          <w:b/>
          <w:snapToGrid w:val="0"/>
          <w:sz w:val="24"/>
          <w:szCs w:val="24"/>
          <w:u w:val="single"/>
          <w:lang w:val="uk-UA"/>
        </w:rPr>
      </w:pPr>
      <w:r>
        <w:rPr>
          <w:rFonts w:ascii="Times New Roman" w:hAnsi="Times New Roman" w:cs="Times New Roman"/>
          <w:b/>
          <w:snapToGrid w:val="0"/>
          <w:sz w:val="24"/>
          <w:szCs w:val="24"/>
          <w:u w:val="single"/>
          <w:lang w:val="uk-UA"/>
        </w:rPr>
        <w:t>4.1. Пенсійний фонд України</w:t>
      </w:r>
    </w:p>
    <w:p>
      <w:pPr>
        <w:shd w:val="clear" w:color="auto" w:fill="FFFFFF"/>
        <w:tabs>
          <w:tab w:val="left" w:pos="1418"/>
        </w:tabs>
        <w:spacing w:after="0" w:line="240" w:lineRule="auto"/>
        <w:ind w:firstLine="567"/>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Частина 1</w:t>
      </w:r>
    </w:p>
    <w:p>
      <w:pPr>
        <w:pStyle w:val="31"/>
        <w:tabs>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 xml:space="preserve">1.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завданнями, функціями та правами державної установи. </w:t>
      </w:r>
      <w:r>
        <w:rPr>
          <w:rFonts w:ascii="Times New Roman" w:hAnsi="Times New Roman" w:cs="Times New Roman"/>
          <w:b/>
          <w:i/>
          <w:sz w:val="24"/>
          <w:szCs w:val="24"/>
          <w:lang w:val="uk-UA"/>
        </w:rPr>
        <w:t>Визначити</w:t>
      </w:r>
      <w:r>
        <w:rPr>
          <w:rFonts w:ascii="Times New Roman" w:hAnsi="Times New Roman" w:cs="Times New Roman"/>
          <w:sz w:val="24"/>
          <w:szCs w:val="24"/>
          <w:lang w:val="uk-UA"/>
        </w:rPr>
        <w:t xml:space="preserve"> структуру управління і відобразити її схематично.</w:t>
      </w:r>
    </w:p>
    <w:p>
      <w:pPr>
        <w:pStyle w:val="59"/>
        <w:tabs>
          <w:tab w:val="left" w:pos="1418"/>
          <w:tab w:val="left" w:pos="10772"/>
        </w:tabs>
        <w:spacing w:before="0" w:after="0"/>
        <w:ind w:firstLine="567"/>
        <w:jc w:val="both"/>
        <w:rPr>
          <w:color w:val="auto"/>
          <w:lang w:val="uk-UA"/>
        </w:rPr>
      </w:pPr>
      <w:r>
        <w:rPr>
          <w:color w:val="auto"/>
          <w:lang w:val="uk-UA"/>
        </w:rPr>
        <w:t xml:space="preserve">2. </w:t>
      </w:r>
      <w:r>
        <w:rPr>
          <w:b/>
          <w:i/>
          <w:color w:val="auto"/>
          <w:lang w:val="uk-UA"/>
        </w:rPr>
        <w:t>Ознайомитись</w:t>
      </w:r>
      <w:r>
        <w:rPr>
          <w:color w:val="auto"/>
          <w:lang w:val="uk-UA"/>
        </w:rPr>
        <w:t xml:space="preserve"> із нормативними документами, якими керуються територіальні органи соціального (пенсійного) страхування у своїй діяльності.</w:t>
      </w:r>
    </w:p>
    <w:p>
      <w:pPr>
        <w:pStyle w:val="59"/>
        <w:tabs>
          <w:tab w:val="left" w:pos="1418"/>
          <w:tab w:val="left" w:pos="10772"/>
        </w:tabs>
        <w:spacing w:before="0" w:after="0"/>
        <w:ind w:firstLine="567"/>
        <w:jc w:val="both"/>
        <w:rPr>
          <w:snapToGrid w:val="0"/>
          <w:color w:val="auto"/>
          <w:lang w:val="uk-UA"/>
        </w:rPr>
      </w:pPr>
      <w:r>
        <w:rPr>
          <w:color w:val="auto"/>
          <w:lang w:val="uk-UA"/>
        </w:rPr>
        <w:t xml:space="preserve">3. </w:t>
      </w:r>
      <w:r>
        <w:rPr>
          <w:b/>
          <w:i/>
          <w:snapToGrid w:val="0"/>
          <w:color w:val="auto"/>
          <w:lang w:val="uk-UA"/>
        </w:rPr>
        <w:t>Вивчити та проаналізувати</w:t>
      </w:r>
      <w:r>
        <w:rPr>
          <w:snapToGrid w:val="0"/>
          <w:color w:val="auto"/>
          <w:lang w:val="uk-UA"/>
        </w:rPr>
        <w:t xml:space="preserve"> джерела формування доходів бюджету Пенсійного фонду від:</w:t>
      </w:r>
    </w:p>
    <w:p>
      <w:pPr>
        <w:numPr>
          <w:ilvl w:val="0"/>
          <w:numId w:val="4"/>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страхових внесків на обов'язкове державне пенсійне страхування</w:t>
      </w:r>
    </w:p>
    <w:p>
      <w:pPr>
        <w:numPr>
          <w:ilvl w:val="0"/>
          <w:numId w:val="4"/>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інвестиційного доходу, який отримується від інвестування резерву коштів для покриття дефіциту бюджету Пенсійного фонду в майбутніх періодах</w:t>
      </w:r>
    </w:p>
    <w:p>
      <w:pPr>
        <w:numPr>
          <w:ilvl w:val="0"/>
          <w:numId w:val="4"/>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коштів Державного бюджету України та цільових фондів, що спрямовуються до Пенсійного фонду;</w:t>
      </w:r>
    </w:p>
    <w:p>
      <w:pPr>
        <w:numPr>
          <w:ilvl w:val="0"/>
          <w:numId w:val="4"/>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сум фінансових санкцій, застосованих відповідно до закону до юридичних та фізичних осіб за порушення пенсійного законодавства;</w:t>
      </w:r>
    </w:p>
    <w:p>
      <w:pPr>
        <w:widowControl w:val="0"/>
        <w:numPr>
          <w:ilvl w:val="0"/>
          <w:numId w:val="4"/>
        </w:numPr>
        <w:tabs>
          <w:tab w:val="left" w:pos="851"/>
          <w:tab w:val="left" w:pos="1418"/>
        </w:tabs>
        <w:autoSpaceDE w:val="0"/>
        <w:autoSpaceDN w:val="0"/>
        <w:adjustRightInd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благодійних внесків юридичних та фізичних осіб; </w:t>
      </w:r>
    </w:p>
    <w:p>
      <w:pPr>
        <w:widowControl w:val="0"/>
        <w:numPr>
          <w:ilvl w:val="0"/>
          <w:numId w:val="4"/>
        </w:numPr>
        <w:tabs>
          <w:tab w:val="left" w:pos="851"/>
          <w:tab w:val="left" w:pos="1418"/>
        </w:tabs>
        <w:autoSpaceDE w:val="0"/>
        <w:autoSpaceDN w:val="0"/>
        <w:adjustRightInd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добровільних внесків;</w:t>
      </w:r>
    </w:p>
    <w:p>
      <w:pPr>
        <w:widowControl w:val="0"/>
        <w:numPr>
          <w:ilvl w:val="0"/>
          <w:numId w:val="4"/>
        </w:numPr>
        <w:tabs>
          <w:tab w:val="left" w:pos="851"/>
          <w:tab w:val="left" w:pos="1418"/>
        </w:tabs>
        <w:autoSpaceDE w:val="0"/>
        <w:autoSpaceDN w:val="0"/>
        <w:adjustRightInd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інших, не заборонених законодавством надходжень. </w:t>
      </w:r>
    </w:p>
    <w:p>
      <w:pPr>
        <w:numPr>
          <w:ilvl w:val="0"/>
          <w:numId w:val="5"/>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napToGrid w:val="0"/>
          <w:sz w:val="24"/>
          <w:szCs w:val="24"/>
          <w:lang w:val="uk-UA"/>
        </w:rPr>
      </w:pPr>
      <w:r>
        <w:rPr>
          <w:rFonts w:ascii="Times New Roman" w:hAnsi="Times New Roman" w:cs="Times New Roman"/>
          <w:b/>
          <w:i/>
          <w:snapToGrid w:val="0"/>
          <w:sz w:val="24"/>
          <w:szCs w:val="24"/>
          <w:lang w:val="uk-UA"/>
        </w:rPr>
        <w:t>Ознайомитись</w:t>
      </w:r>
      <w:r>
        <w:rPr>
          <w:rFonts w:ascii="Times New Roman" w:hAnsi="Times New Roman" w:cs="Times New Roman"/>
          <w:snapToGrid w:val="0"/>
          <w:sz w:val="24"/>
          <w:szCs w:val="24"/>
          <w:lang w:val="uk-UA"/>
        </w:rPr>
        <w:t xml:space="preserve"> з Порядком обчислення та строками сплати </w:t>
      </w:r>
      <w:r>
        <w:rPr>
          <w:rFonts w:ascii="Times New Roman" w:hAnsi="Times New Roman" w:cs="Times New Roman"/>
          <w:sz w:val="24"/>
          <w:szCs w:val="24"/>
          <w:lang w:val="uk-UA"/>
        </w:rPr>
        <w:t>єдиного внеску на загальнообов'язкове державне соціальне страхування</w:t>
      </w:r>
      <w:r>
        <w:rPr>
          <w:rFonts w:ascii="Times New Roman" w:hAnsi="Times New Roman" w:cs="Times New Roman"/>
          <w:snapToGrid w:val="0"/>
          <w:sz w:val="24"/>
          <w:szCs w:val="24"/>
          <w:lang w:val="uk-UA"/>
        </w:rPr>
        <w:t>.</w:t>
      </w:r>
    </w:p>
    <w:p>
      <w:pPr>
        <w:widowControl w:val="0"/>
        <w:tabs>
          <w:tab w:val="left" w:pos="1418"/>
        </w:tabs>
        <w:adjustRightInd w:val="0"/>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numPr>
          <w:ilvl w:val="0"/>
          <w:numId w:val="6"/>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системою персоніфікованого обліку відомостей у системі обов'язкового державного пенсійного страхування</w:t>
      </w:r>
    </w:p>
    <w:p>
      <w:pPr>
        <w:numPr>
          <w:ilvl w:val="0"/>
          <w:numId w:val="6"/>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napToGrid w:val="0"/>
          <w:sz w:val="24"/>
          <w:szCs w:val="24"/>
          <w:lang w:val="uk-UA"/>
        </w:rPr>
      </w:pPr>
      <w:r>
        <w:rPr>
          <w:rFonts w:ascii="Times New Roman" w:hAnsi="Times New Roman" w:cs="Times New Roman"/>
          <w:b/>
          <w:i/>
          <w:sz w:val="24"/>
          <w:szCs w:val="24"/>
          <w:lang w:val="uk-UA"/>
        </w:rPr>
        <w:t>Провести аналіз</w:t>
      </w:r>
      <w:r>
        <w:rPr>
          <w:rFonts w:ascii="Times New Roman" w:hAnsi="Times New Roman" w:cs="Times New Roman"/>
          <w:sz w:val="24"/>
          <w:szCs w:val="24"/>
          <w:lang w:val="uk-UA"/>
        </w:rPr>
        <w:t xml:space="preserve"> звітності платників Пенсійного фонду. Відповідальність платників збору. Контроль за сплатою ЄСВ платниками. </w:t>
      </w:r>
      <w:r>
        <w:rPr>
          <w:rFonts w:ascii="Times New Roman" w:hAnsi="Times New Roman" w:cs="Times New Roman"/>
          <w:b/>
          <w:i/>
          <w:snapToGrid w:val="0"/>
          <w:sz w:val="24"/>
          <w:szCs w:val="24"/>
          <w:lang w:val="uk-UA"/>
        </w:rPr>
        <w:t>Провести аналіз</w:t>
      </w:r>
      <w:r>
        <w:rPr>
          <w:rFonts w:ascii="Times New Roman" w:hAnsi="Times New Roman" w:cs="Times New Roman"/>
          <w:snapToGrid w:val="0"/>
          <w:sz w:val="24"/>
          <w:szCs w:val="24"/>
          <w:lang w:val="uk-UA"/>
        </w:rPr>
        <w:t xml:space="preserve"> видатків Пенсійного фонду.</w:t>
      </w:r>
    </w:p>
    <w:p>
      <w:pPr>
        <w:numPr>
          <w:ilvl w:val="0"/>
          <w:numId w:val="6"/>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основні умови пенсійного забезпечення, </w:t>
      </w:r>
      <w:r>
        <w:rPr>
          <w:rFonts w:ascii="Times New Roman" w:hAnsi="Times New Roman" w:cs="Times New Roman"/>
          <w:b/>
          <w:i/>
          <w:snapToGrid w:val="0"/>
          <w:sz w:val="24"/>
          <w:szCs w:val="24"/>
          <w:lang w:val="uk-UA"/>
        </w:rPr>
        <w:t>надати</w:t>
      </w:r>
      <w:r>
        <w:rPr>
          <w:rFonts w:ascii="Times New Roman" w:hAnsi="Times New Roman" w:cs="Times New Roman"/>
          <w:snapToGrid w:val="0"/>
          <w:sz w:val="24"/>
          <w:szCs w:val="24"/>
          <w:lang w:val="uk-UA"/>
        </w:rPr>
        <w:t xml:space="preserve"> коротку характеристику пенсій за їх видами: пенсії за віком, пенсії по інвалідності, пенсії за вислугу років, пенсії на випадок втрати годувальника, інші види пенсій.</w:t>
      </w:r>
    </w:p>
    <w:p>
      <w:pPr>
        <w:numPr>
          <w:ilvl w:val="0"/>
          <w:numId w:val="6"/>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b/>
          <w:i/>
          <w:snapToGrid w:val="0"/>
          <w:sz w:val="24"/>
          <w:szCs w:val="24"/>
          <w:lang w:val="uk-UA"/>
        </w:rPr>
        <w:t>Ознайомитись</w:t>
      </w:r>
      <w:r>
        <w:rPr>
          <w:rFonts w:ascii="Times New Roman" w:hAnsi="Times New Roman" w:cs="Times New Roman"/>
          <w:snapToGrid w:val="0"/>
          <w:sz w:val="24"/>
          <w:szCs w:val="24"/>
          <w:lang w:val="uk-UA"/>
        </w:rPr>
        <w:t xml:space="preserve"> з реалізацією етапів пенсійної реформи в Україні</w:t>
      </w:r>
      <w:r>
        <w:rPr>
          <w:rFonts w:ascii="Times New Roman" w:hAnsi="Times New Roman" w:cs="Times New Roman"/>
          <w:sz w:val="24"/>
          <w:szCs w:val="24"/>
          <w:lang w:val="uk-UA"/>
        </w:rPr>
        <w:t>. Дати їх коротку характеристику.</w:t>
      </w:r>
    </w:p>
    <w:p>
      <w:pPr>
        <w:pStyle w:val="2"/>
        <w:tabs>
          <w:tab w:val="left" w:pos="1418"/>
        </w:tabs>
        <w:spacing w:before="0" w:after="0"/>
        <w:ind w:firstLine="567"/>
        <w:jc w:val="center"/>
        <w:rPr>
          <w:rFonts w:ascii="Times New Roman" w:hAnsi="Times New Roman"/>
          <w:bCs w:val="0"/>
          <w:sz w:val="24"/>
          <w:szCs w:val="24"/>
          <w:u w:val="single"/>
          <w:lang w:val="uk-UA"/>
        </w:rPr>
      </w:pPr>
      <w:r>
        <w:rPr>
          <w:rFonts w:ascii="Times New Roman" w:hAnsi="Times New Roman"/>
          <w:bCs w:val="0"/>
          <w:sz w:val="24"/>
          <w:szCs w:val="24"/>
          <w:u w:val="single"/>
          <w:lang w:val="uk-UA"/>
        </w:rPr>
        <w:t>4.2. Фонд соціального страхування України</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1</w:t>
      </w:r>
    </w:p>
    <w:p>
      <w:pPr>
        <w:pStyle w:val="31"/>
        <w:tabs>
          <w:tab w:val="left" w:pos="851"/>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bCs/>
          <w:snapToGrid w:val="0"/>
          <w:sz w:val="24"/>
          <w:szCs w:val="24"/>
          <w:lang w:val="uk-UA"/>
        </w:rPr>
        <w:t xml:space="preserve">1. </w:t>
      </w:r>
      <w:r>
        <w:rPr>
          <w:rFonts w:ascii="Times New Roman" w:hAnsi="Times New Roman" w:cs="Times New Roman"/>
          <w:b/>
          <w:bCs/>
          <w:i/>
          <w:snapToGrid w:val="0"/>
          <w:sz w:val="24"/>
          <w:szCs w:val="24"/>
          <w:lang w:val="uk-UA"/>
        </w:rPr>
        <w:t>Дослідити особливості:</w:t>
      </w:r>
      <w:r>
        <w:rPr>
          <w:rFonts w:ascii="Times New Roman" w:hAnsi="Times New Roman" w:cs="Times New Roman"/>
          <w:bCs/>
          <w:snapToGrid w:val="0"/>
          <w:sz w:val="24"/>
          <w:szCs w:val="24"/>
          <w:lang w:val="uk-UA"/>
        </w:rPr>
        <w:t xml:space="preserve"> управління загальнообов’язковим державним соціальним страхуванням від нещасного випадку, у зв’язку з тимчасовою втратою працездатності та медичним страхуванням </w:t>
      </w:r>
      <w:r>
        <w:rPr>
          <w:rFonts w:ascii="Times New Roman" w:hAnsi="Times New Roman" w:cs="Times New Roman"/>
          <w:b/>
          <w:bCs/>
          <w:snapToGrid w:val="0"/>
          <w:sz w:val="24"/>
          <w:szCs w:val="24"/>
          <w:lang w:val="uk-UA"/>
        </w:rPr>
        <w:t>(</w:t>
      </w:r>
      <w:r>
        <w:rPr>
          <w:rFonts w:ascii="Times New Roman" w:hAnsi="Times New Roman" w:cs="Times New Roman"/>
          <w:snapToGrid w:val="0"/>
          <w:sz w:val="24"/>
          <w:szCs w:val="24"/>
          <w:lang w:val="uk-UA"/>
        </w:rPr>
        <w:t xml:space="preserve">Правління, Виконавча дирекція, Громадська рада Фонду, відділи). </w:t>
      </w:r>
      <w:r>
        <w:rPr>
          <w:rFonts w:ascii="Times New Roman" w:hAnsi="Times New Roman" w:cs="Times New Roman"/>
          <w:b/>
          <w:i/>
          <w:sz w:val="24"/>
          <w:szCs w:val="24"/>
          <w:lang w:val="uk-UA"/>
        </w:rPr>
        <w:t>Визначит</w:t>
      </w:r>
      <w:r>
        <w:rPr>
          <w:rFonts w:ascii="Times New Roman" w:hAnsi="Times New Roman" w:cs="Times New Roman"/>
          <w:sz w:val="24"/>
          <w:szCs w:val="24"/>
          <w:lang w:val="uk-UA"/>
        </w:rPr>
        <w:t>и структуру управління відповідно до ЗУ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від 28.12.2014 № 77-VIII і відобразити її схематично.</w:t>
      </w:r>
    </w:p>
    <w:p>
      <w:pPr>
        <w:pStyle w:val="59"/>
        <w:tabs>
          <w:tab w:val="left" w:pos="1418"/>
          <w:tab w:val="left" w:pos="10772"/>
        </w:tabs>
        <w:spacing w:before="0" w:after="0"/>
        <w:ind w:firstLine="567"/>
        <w:jc w:val="both"/>
        <w:rPr>
          <w:color w:val="auto"/>
          <w:lang w:val="uk-UA"/>
        </w:rPr>
      </w:pPr>
      <w:r>
        <w:rPr>
          <w:color w:val="auto"/>
          <w:lang w:val="uk-UA"/>
        </w:rPr>
        <w:t xml:space="preserve">2. </w:t>
      </w:r>
      <w:r>
        <w:rPr>
          <w:b/>
          <w:i/>
          <w:color w:val="auto"/>
        </w:rPr>
        <w:t>Ознайомитись</w:t>
      </w:r>
      <w:r>
        <w:rPr>
          <w:color w:val="auto"/>
        </w:rPr>
        <w:t xml:space="preserve"> із </w:t>
      </w:r>
      <w:r>
        <w:rPr>
          <w:color w:val="auto"/>
          <w:lang w:val="uk-UA"/>
        </w:rPr>
        <w:t xml:space="preserve">різноманітними </w:t>
      </w:r>
      <w:r>
        <w:rPr>
          <w:color w:val="auto"/>
        </w:rPr>
        <w:t xml:space="preserve">нормативними документами, якими керуються територіальні органи </w:t>
      </w:r>
      <w:r>
        <w:rPr>
          <w:color w:val="auto"/>
          <w:lang w:val="uk-UA"/>
        </w:rPr>
        <w:t>соціального страхування</w:t>
      </w:r>
      <w:r>
        <w:rPr>
          <w:color w:val="auto"/>
        </w:rPr>
        <w:t xml:space="preserve"> у своїй діяльності</w:t>
      </w:r>
      <w:r>
        <w:rPr>
          <w:color w:val="auto"/>
          <w:lang w:val="uk-UA"/>
        </w:rPr>
        <w:t>.</w:t>
      </w:r>
    </w:p>
    <w:p>
      <w:pPr>
        <w:shd w:val="clear" w:color="auto" w:fill="FFFFFF"/>
        <w:tabs>
          <w:tab w:val="left" w:pos="1418"/>
          <w:tab w:val="left" w:pos="10772"/>
        </w:tabs>
        <w:spacing w:after="0" w:line="240" w:lineRule="auto"/>
        <w:ind w:firstLine="567"/>
        <w:jc w:val="both"/>
        <w:rPr>
          <w:rFonts w:ascii="Times New Roman" w:hAnsi="Times New Roman" w:cs="Times New Roman"/>
          <w:bCs/>
          <w:snapToGrid w:val="0"/>
          <w:sz w:val="24"/>
          <w:szCs w:val="24"/>
          <w:lang w:val="uk-UA"/>
        </w:rPr>
      </w:pPr>
      <w:r>
        <w:rPr>
          <w:rFonts w:ascii="Times New Roman" w:hAnsi="Times New Roman" w:cs="Times New Roman"/>
          <w:bCs/>
          <w:snapToGrid w:val="0"/>
          <w:sz w:val="24"/>
          <w:szCs w:val="24"/>
          <w:lang w:val="uk-UA"/>
        </w:rPr>
        <w:t xml:space="preserve">3. </w:t>
      </w:r>
      <w:r>
        <w:rPr>
          <w:rFonts w:ascii="Times New Roman" w:hAnsi="Times New Roman" w:cs="Times New Roman"/>
          <w:b/>
          <w:i/>
          <w:snapToGrid w:val="0"/>
          <w:sz w:val="24"/>
          <w:szCs w:val="24"/>
          <w:lang w:val="uk-UA"/>
        </w:rPr>
        <w:t>Визначити та проаналізувати</w:t>
      </w:r>
      <w:r>
        <w:rPr>
          <w:rFonts w:ascii="Times New Roman" w:hAnsi="Times New Roman" w:cs="Times New Roman"/>
          <w:snapToGrid w:val="0"/>
          <w:sz w:val="24"/>
          <w:szCs w:val="24"/>
          <w:lang w:val="uk-UA"/>
        </w:rPr>
        <w:t xml:space="preserve"> порядок формування </w:t>
      </w:r>
      <w:r>
        <w:rPr>
          <w:rFonts w:ascii="Times New Roman" w:hAnsi="Times New Roman" w:cs="Times New Roman"/>
          <w:bCs/>
          <w:snapToGrid w:val="0"/>
          <w:sz w:val="24"/>
          <w:szCs w:val="24"/>
          <w:lang w:val="uk-UA"/>
        </w:rPr>
        <w:t>бюджету Фонду соціального страхування України.</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4.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джерела формування бюджету Фонду соціального страхування України.</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pStyle w:val="25"/>
        <w:tabs>
          <w:tab w:val="left" w:pos="1418"/>
          <w:tab w:val="left" w:pos="10772"/>
        </w:tabs>
        <w:spacing w:after="0"/>
        <w:ind w:firstLine="567"/>
        <w:jc w:val="both"/>
        <w:rPr>
          <w:bCs/>
          <w:sz w:val="24"/>
          <w:lang w:val="uk-UA"/>
        </w:rPr>
      </w:pPr>
      <w:r>
        <w:rPr>
          <w:bCs/>
          <w:sz w:val="24"/>
          <w:lang w:val="uk-UA"/>
        </w:rPr>
        <w:t xml:space="preserve">1. </w:t>
      </w:r>
      <w:r>
        <w:rPr>
          <w:b/>
          <w:bCs/>
          <w:i/>
          <w:sz w:val="24"/>
          <w:lang w:val="uk-UA"/>
        </w:rPr>
        <w:t>Ознайомитись та проаналізувати</w:t>
      </w:r>
      <w:r>
        <w:rPr>
          <w:bCs/>
          <w:sz w:val="24"/>
          <w:lang w:val="uk-UA"/>
        </w:rPr>
        <w:t xml:space="preserve"> види матеріального забезпечення та соціальних послуг за загальнообов’язковим страхуванням з тимчасової втрати працездатності,</w:t>
      </w:r>
      <w:r>
        <w:rPr>
          <w:bCs/>
          <w:snapToGrid w:val="0"/>
          <w:sz w:val="24"/>
          <w:lang w:val="uk-UA"/>
        </w:rPr>
        <w:t xml:space="preserve"> соціальним страхуванням від нещасного випадку, медичним страхуванням.</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2.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порядок обчислення середньої заробітної плати (доходу) для розрахунку виплат за загальнообов'язковим державним соціальним страхуванням.</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особливості та порядок надання допомоги на період тимчасової непрацездатності, допомоги з вагітності та пологів, допомоги на поховання, реабілітації та санаторно-курортного лікування.</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або: Частина 2</w:t>
      </w:r>
    </w:p>
    <w:p>
      <w:pPr>
        <w:pStyle w:val="20"/>
        <w:tabs>
          <w:tab w:val="left" w:pos="1418"/>
          <w:tab w:val="left" w:pos="10772"/>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1.</w:t>
      </w:r>
      <w:r>
        <w:rPr>
          <w:rFonts w:ascii="Times New Roman" w:hAnsi="Times New Roman" w:cs="Times New Roman"/>
          <w:bCs/>
          <w:sz w:val="24"/>
          <w:szCs w:val="24"/>
        </w:rPr>
        <w:t xml:space="preserve"> </w:t>
      </w:r>
      <w:r>
        <w:rPr>
          <w:rFonts w:ascii="Times New Roman" w:hAnsi="Times New Roman" w:cs="Times New Roman"/>
          <w:b/>
          <w:bCs/>
          <w:i/>
          <w:sz w:val="24"/>
          <w:szCs w:val="24"/>
          <w:lang w:val="uk-UA"/>
        </w:rPr>
        <w:t>Ознайомитись та проаналізувати</w:t>
      </w:r>
      <w:r>
        <w:rPr>
          <w:rFonts w:ascii="Times New Roman" w:hAnsi="Times New Roman" w:cs="Times New Roman"/>
          <w:bCs/>
          <w:sz w:val="24"/>
          <w:szCs w:val="24"/>
          <w:lang w:val="uk-UA"/>
        </w:rPr>
        <w:t xml:space="preserve"> види матеріального забезпечення та соціальних послуг у разі настання нещасного випадку на виробництві та професійних захворювань.</w:t>
      </w:r>
    </w:p>
    <w:p>
      <w:pPr>
        <w:shd w:val="clear" w:color="auto" w:fill="FFFFFF"/>
        <w:tabs>
          <w:tab w:val="left" w:pos="1418"/>
          <w:tab w:val="left" w:pos="10772"/>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napToGrid w:val="0"/>
          <w:sz w:val="24"/>
          <w:szCs w:val="24"/>
          <w:lang w:val="uk-UA"/>
        </w:rPr>
        <w:t xml:space="preserve">2. </w:t>
      </w:r>
      <w:r>
        <w:rPr>
          <w:rFonts w:ascii="Times New Roman" w:hAnsi="Times New Roman" w:cs="Times New Roman"/>
          <w:b/>
          <w:i/>
          <w:snapToGrid w:val="0"/>
          <w:sz w:val="24"/>
          <w:szCs w:val="24"/>
          <w:lang w:val="uk-UA"/>
        </w:rPr>
        <w:t xml:space="preserve">Вивчити </w:t>
      </w:r>
      <w:r>
        <w:rPr>
          <w:rFonts w:ascii="Times New Roman" w:hAnsi="Times New Roman" w:cs="Times New Roman"/>
          <w:snapToGrid w:val="0"/>
          <w:sz w:val="24"/>
          <w:szCs w:val="24"/>
          <w:lang w:val="uk-UA"/>
        </w:rPr>
        <w:t>порядок призначення та здійснення</w:t>
      </w:r>
      <w:r>
        <w:rPr>
          <w:rFonts w:ascii="Times New Roman" w:hAnsi="Times New Roman" w:cs="Times New Roman"/>
          <w:bCs/>
          <w:sz w:val="24"/>
          <w:szCs w:val="24"/>
          <w:lang w:val="uk-UA"/>
        </w:rPr>
        <w:t xml:space="preserve"> допомоги   у  зв'язку  з  тимчасовою  непрацездатністю  до відновлення працездатності або встановлення інвалідності; </w:t>
      </w:r>
    </w:p>
    <w:p>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napToGrid w:val="0"/>
          <w:sz w:val="24"/>
          <w:szCs w:val="24"/>
          <w:lang w:val="uk-UA"/>
        </w:rPr>
        <w:t xml:space="preserve">3.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порядок призначення та здійснення</w:t>
      </w:r>
      <w:r>
        <w:rPr>
          <w:rFonts w:ascii="Times New Roman" w:hAnsi="Times New Roman" w:cs="Times New Roman"/>
          <w:bCs/>
          <w:sz w:val="24"/>
          <w:szCs w:val="24"/>
          <w:lang w:val="uk-UA"/>
        </w:rPr>
        <w:t xml:space="preserve"> одноразової допомоги  в  разі  стійкої  втрати  професійної працездатності або смерті потерпілого; </w:t>
      </w:r>
    </w:p>
    <w:p>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napToGrid w:val="0"/>
          <w:sz w:val="24"/>
          <w:szCs w:val="24"/>
          <w:lang w:val="uk-UA"/>
        </w:rPr>
        <w:t xml:space="preserve">4.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порядок призначення та здійснення</w:t>
      </w:r>
      <w:r>
        <w:rPr>
          <w:rFonts w:ascii="Times New Roman" w:hAnsi="Times New Roman" w:cs="Times New Roman"/>
          <w:bCs/>
          <w:sz w:val="24"/>
          <w:szCs w:val="24"/>
          <w:lang w:val="uk-UA"/>
        </w:rPr>
        <w:t xml:space="preserve"> щомісячної  грошової  суми  в разі часткової чи повної втрати працездатності,  що  компенсує   відповідну   частину   втраченого заробітку потерпілого; </w:t>
      </w:r>
    </w:p>
    <w:p>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napToGrid w:val="0"/>
          <w:sz w:val="24"/>
          <w:szCs w:val="24"/>
          <w:lang w:val="uk-UA"/>
        </w:rPr>
        <w:t xml:space="preserve">5.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порядок призначення та здійснення</w:t>
      </w:r>
      <w:r>
        <w:rPr>
          <w:rFonts w:ascii="Times New Roman" w:hAnsi="Times New Roman" w:cs="Times New Roman"/>
          <w:bCs/>
          <w:sz w:val="24"/>
          <w:szCs w:val="24"/>
          <w:lang w:val="uk-UA"/>
        </w:rPr>
        <w:t xml:space="preserve"> пенсії по  інвалідності  внаслідок  нещасного  випадку на виробництві або професійного захворювання; </w:t>
      </w:r>
    </w:p>
    <w:p>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napToGrid w:val="0"/>
          <w:sz w:val="24"/>
          <w:szCs w:val="24"/>
          <w:lang w:val="uk-UA"/>
        </w:rPr>
        <w:t xml:space="preserve">6.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порядок призначення та здійснення</w:t>
      </w:r>
      <w:r>
        <w:rPr>
          <w:rFonts w:ascii="Times New Roman" w:hAnsi="Times New Roman" w:cs="Times New Roman"/>
          <w:bCs/>
          <w:sz w:val="24"/>
          <w:szCs w:val="24"/>
          <w:lang w:val="uk-UA"/>
        </w:rPr>
        <w:t xml:space="preserve"> пенсії  у  зв'язку  з  втратою  годувальника,  який  помер внаслідок   нещасного  випадку  на  виробництві  або  професійного захворювання; </w:t>
      </w:r>
    </w:p>
    <w:p>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napToGrid w:val="0"/>
          <w:sz w:val="24"/>
          <w:szCs w:val="24"/>
          <w:lang w:val="uk-UA"/>
        </w:rPr>
        <w:t xml:space="preserve">7.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порядок призначення та здійснення</w:t>
      </w:r>
      <w:r>
        <w:rPr>
          <w:rFonts w:ascii="Times New Roman" w:hAnsi="Times New Roman" w:cs="Times New Roman"/>
          <w:bCs/>
          <w:sz w:val="24"/>
          <w:szCs w:val="24"/>
          <w:lang w:val="uk-UA"/>
        </w:rPr>
        <w:t xml:space="preserve"> допомоги дитині, яка  народилася  інвалідом внаслідок травмування на виробництві або професійного захворювання її матері під час вагітності.</w:t>
      </w:r>
    </w:p>
    <w:p>
      <w:pPr>
        <w:pStyle w:val="3"/>
        <w:tabs>
          <w:tab w:val="left" w:pos="1418"/>
        </w:tabs>
        <w:spacing w:before="0" w:after="0"/>
        <w:ind w:firstLine="567"/>
        <w:jc w:val="both"/>
        <w:rPr>
          <w:rFonts w:ascii="Times New Roman" w:hAnsi="Times New Roman" w:cs="Times New Roman"/>
          <w:i w:val="0"/>
          <w:sz w:val="24"/>
          <w:szCs w:val="24"/>
          <w:u w:val="single"/>
          <w:lang w:val="uk-UA"/>
        </w:rPr>
      </w:pPr>
      <w:r>
        <w:rPr>
          <w:rFonts w:ascii="Times New Roman" w:hAnsi="Times New Roman" w:cs="Times New Roman"/>
          <w:i w:val="0"/>
          <w:sz w:val="24"/>
          <w:szCs w:val="24"/>
          <w:u w:val="single"/>
          <w:lang w:val="uk-UA"/>
        </w:rPr>
        <w:t>4.3. Фонд загальнообов'язкового державного соціального страхування на випадок безробіття</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1</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bCs/>
          <w:snapToGrid w:val="0"/>
          <w:sz w:val="24"/>
          <w:szCs w:val="24"/>
          <w:lang w:val="uk-UA"/>
        </w:rPr>
        <w:t xml:space="preserve">1. </w:t>
      </w:r>
      <w:r>
        <w:rPr>
          <w:rFonts w:ascii="Times New Roman" w:hAnsi="Times New Roman" w:cs="Times New Roman"/>
          <w:b/>
          <w:i/>
          <w:sz w:val="24"/>
          <w:szCs w:val="24"/>
          <w:lang w:val="uk-UA"/>
        </w:rPr>
        <w:t>Визначити</w:t>
      </w:r>
      <w:r>
        <w:rPr>
          <w:rFonts w:ascii="Times New Roman" w:hAnsi="Times New Roman" w:cs="Times New Roman"/>
          <w:sz w:val="24"/>
          <w:szCs w:val="24"/>
          <w:lang w:val="uk-UA"/>
        </w:rPr>
        <w:t xml:space="preserve"> структуру управління і відобразити її схематично.</w:t>
      </w:r>
      <w:r>
        <w:rPr>
          <w:rFonts w:ascii="Times New Roman" w:hAnsi="Times New Roman" w:cs="Times New Roman"/>
          <w:bCs/>
          <w:snapToGrid w:val="0"/>
          <w:sz w:val="24"/>
          <w:szCs w:val="24"/>
          <w:lang w:val="uk-UA"/>
        </w:rPr>
        <w:t xml:space="preserve"> Управління страхуванням на випадок безробіття:</w:t>
      </w:r>
      <w:r>
        <w:rPr>
          <w:rFonts w:ascii="Times New Roman" w:hAnsi="Times New Roman" w:cs="Times New Roman"/>
          <w:b/>
          <w:bCs/>
          <w:snapToGrid w:val="0"/>
          <w:sz w:val="24"/>
          <w:szCs w:val="24"/>
          <w:lang w:val="uk-UA"/>
        </w:rPr>
        <w:t xml:space="preserve"> </w:t>
      </w:r>
      <w:r>
        <w:rPr>
          <w:rFonts w:ascii="Times New Roman" w:hAnsi="Times New Roman" w:cs="Times New Roman"/>
          <w:snapToGrid w:val="0"/>
          <w:sz w:val="24"/>
          <w:szCs w:val="24"/>
          <w:lang w:val="uk-UA"/>
        </w:rPr>
        <w:t>Правління, Виконавча дирекція, Наглядова рада, відділи.</w:t>
      </w:r>
    </w:p>
    <w:p>
      <w:pPr>
        <w:pStyle w:val="59"/>
        <w:tabs>
          <w:tab w:val="left" w:pos="1418"/>
          <w:tab w:val="left" w:pos="10772"/>
        </w:tabs>
        <w:spacing w:before="0" w:after="0"/>
        <w:ind w:firstLine="567"/>
        <w:jc w:val="both"/>
        <w:rPr>
          <w:color w:val="auto"/>
          <w:lang w:val="uk-UA"/>
        </w:rPr>
      </w:pPr>
      <w:r>
        <w:rPr>
          <w:color w:val="auto"/>
          <w:lang w:val="uk-UA"/>
        </w:rPr>
        <w:t xml:space="preserve">2. </w:t>
      </w:r>
      <w:r>
        <w:rPr>
          <w:b/>
          <w:i/>
          <w:color w:val="auto"/>
          <w:lang w:val="uk-UA"/>
        </w:rPr>
        <w:t>Ознайомитись</w:t>
      </w:r>
      <w:r>
        <w:rPr>
          <w:color w:val="auto"/>
          <w:lang w:val="uk-UA"/>
        </w:rPr>
        <w:t xml:space="preserve"> із нормативними документами, якими керуються територіальні органи соціального страхування у своїй діяльності.</w:t>
      </w:r>
    </w:p>
    <w:p>
      <w:pPr>
        <w:shd w:val="clear" w:color="auto" w:fill="FFFFFF"/>
        <w:tabs>
          <w:tab w:val="left" w:pos="1418"/>
          <w:tab w:val="left" w:pos="10772"/>
        </w:tabs>
        <w:spacing w:after="0" w:line="240" w:lineRule="auto"/>
        <w:ind w:firstLine="567"/>
        <w:jc w:val="both"/>
        <w:rPr>
          <w:rFonts w:ascii="Times New Roman" w:hAnsi="Times New Roman" w:cs="Times New Roman"/>
          <w:bCs/>
          <w:snapToGrid w:val="0"/>
          <w:sz w:val="24"/>
          <w:szCs w:val="24"/>
          <w:lang w:val="uk-UA"/>
        </w:rPr>
      </w:pPr>
      <w:r>
        <w:rPr>
          <w:rFonts w:ascii="Times New Roman" w:hAnsi="Times New Roman" w:cs="Times New Roman"/>
          <w:snapToGrid w:val="0"/>
          <w:sz w:val="24"/>
          <w:szCs w:val="24"/>
          <w:lang w:val="uk-UA"/>
        </w:rPr>
        <w:t xml:space="preserve">3. </w:t>
      </w:r>
      <w:r>
        <w:rPr>
          <w:rFonts w:ascii="Times New Roman" w:hAnsi="Times New Roman" w:cs="Times New Roman"/>
          <w:b/>
          <w:i/>
          <w:snapToGrid w:val="0"/>
          <w:sz w:val="24"/>
          <w:szCs w:val="24"/>
          <w:lang w:val="uk-UA"/>
        </w:rPr>
        <w:t>Визначити та проаналізувати</w:t>
      </w:r>
      <w:r>
        <w:rPr>
          <w:rFonts w:ascii="Times New Roman" w:hAnsi="Times New Roman" w:cs="Times New Roman"/>
          <w:snapToGrid w:val="0"/>
          <w:sz w:val="24"/>
          <w:szCs w:val="24"/>
          <w:lang w:val="uk-UA"/>
        </w:rPr>
        <w:t xml:space="preserve"> порядок формування </w:t>
      </w:r>
      <w:r>
        <w:rPr>
          <w:rFonts w:ascii="Times New Roman" w:hAnsi="Times New Roman" w:cs="Times New Roman"/>
          <w:bCs/>
          <w:snapToGrid w:val="0"/>
          <w:sz w:val="24"/>
          <w:szCs w:val="24"/>
          <w:lang w:val="uk-UA"/>
        </w:rPr>
        <w:t>бюджету Фонду загальнообов'язкового державного соціального страхування на випадок безробіття.</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4.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джерела формування доходів бюджету ФСС ВБ.</w:t>
      </w:r>
    </w:p>
    <w:p>
      <w:pPr>
        <w:shd w:val="clear" w:color="auto" w:fill="FFFFFF"/>
        <w:tabs>
          <w:tab w:val="left" w:pos="1418"/>
          <w:tab w:val="left" w:pos="10772"/>
        </w:tabs>
        <w:spacing w:after="0" w:line="240" w:lineRule="auto"/>
        <w:ind w:firstLine="567"/>
        <w:jc w:val="both"/>
        <w:rPr>
          <w:rFonts w:ascii="Times New Roman" w:hAnsi="Times New Roman" w:cs="Times New Roman"/>
          <w:bCs/>
          <w:snapToGrid w:val="0"/>
          <w:sz w:val="24"/>
          <w:szCs w:val="24"/>
          <w:lang w:val="uk-UA"/>
        </w:rPr>
      </w:pPr>
      <w:r>
        <w:rPr>
          <w:rFonts w:ascii="Times New Roman" w:hAnsi="Times New Roman" w:cs="Times New Roman"/>
          <w:snapToGrid w:val="0"/>
          <w:sz w:val="24"/>
          <w:szCs w:val="24"/>
          <w:lang w:val="uk-UA"/>
        </w:rPr>
        <w:t xml:space="preserve">5. </w:t>
      </w:r>
      <w:r>
        <w:rPr>
          <w:rFonts w:ascii="Times New Roman" w:hAnsi="Times New Roman" w:cs="Times New Roman"/>
          <w:b/>
          <w:i/>
          <w:snapToGrid w:val="0"/>
          <w:sz w:val="24"/>
          <w:szCs w:val="24"/>
          <w:lang w:val="uk-UA"/>
        </w:rPr>
        <w:t>Проаналізувати:</w:t>
      </w:r>
      <w:r>
        <w:rPr>
          <w:rFonts w:ascii="Times New Roman" w:hAnsi="Times New Roman" w:cs="Times New Roman"/>
          <w:snapToGrid w:val="0"/>
          <w:sz w:val="24"/>
          <w:szCs w:val="24"/>
          <w:lang w:val="uk-UA"/>
        </w:rPr>
        <w:t xml:space="preserve"> платників страхових внесків, порядок їх реєстрації та обліку, порядок обчислення і строки сплати страхових внесків, звітність платників страхових внесків, особливості контролю за сплатою страхових внесків, в</w:t>
      </w:r>
      <w:r>
        <w:rPr>
          <w:rFonts w:ascii="Times New Roman" w:hAnsi="Times New Roman" w:cs="Times New Roman"/>
          <w:bCs/>
          <w:snapToGrid w:val="0"/>
          <w:sz w:val="24"/>
          <w:szCs w:val="24"/>
          <w:lang w:val="uk-UA"/>
        </w:rPr>
        <w:t xml:space="preserve">ідповідальність платників страхових внесків. </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pStyle w:val="25"/>
        <w:tabs>
          <w:tab w:val="left" w:pos="1418"/>
          <w:tab w:val="left" w:pos="10772"/>
        </w:tabs>
        <w:spacing w:after="0"/>
        <w:ind w:firstLine="567"/>
        <w:jc w:val="both"/>
        <w:rPr>
          <w:bCs/>
          <w:sz w:val="24"/>
          <w:lang w:val="uk-UA"/>
        </w:rPr>
      </w:pPr>
      <w:r>
        <w:rPr>
          <w:bCs/>
          <w:sz w:val="24"/>
          <w:lang w:val="uk-UA"/>
        </w:rPr>
        <w:t xml:space="preserve">1. </w:t>
      </w:r>
      <w:r>
        <w:rPr>
          <w:b/>
          <w:bCs/>
          <w:i/>
          <w:sz w:val="24"/>
          <w:lang w:val="uk-UA"/>
        </w:rPr>
        <w:t>Ознайомитись та проаналізувати</w:t>
      </w:r>
      <w:r>
        <w:rPr>
          <w:bCs/>
          <w:sz w:val="24"/>
          <w:lang w:val="uk-UA"/>
        </w:rPr>
        <w:t xml:space="preserve"> видатки бюджету Фонду загальнообов'язкового державного соціального страхування на випадок безробіття. </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2. </w:t>
      </w:r>
      <w:r>
        <w:rPr>
          <w:rFonts w:ascii="Times New Roman" w:hAnsi="Times New Roman" w:cs="Times New Roman"/>
          <w:b/>
          <w:i/>
          <w:snapToGrid w:val="0"/>
          <w:sz w:val="24"/>
          <w:szCs w:val="24"/>
          <w:lang w:val="uk-UA"/>
        </w:rPr>
        <w:t>Надати</w:t>
      </w:r>
      <w:r>
        <w:rPr>
          <w:rFonts w:ascii="Times New Roman" w:hAnsi="Times New Roman" w:cs="Times New Roman"/>
          <w:snapToGrid w:val="0"/>
          <w:sz w:val="24"/>
          <w:szCs w:val="24"/>
          <w:lang w:val="uk-UA"/>
        </w:rPr>
        <w:t xml:space="preserve"> характеристику матеріального забезпечення та соціальних послуг, </w:t>
      </w:r>
      <w:r>
        <w:rPr>
          <w:rFonts w:ascii="Times New Roman" w:hAnsi="Times New Roman" w:cs="Times New Roman"/>
          <w:b/>
          <w:i/>
          <w:snapToGrid w:val="0"/>
          <w:sz w:val="24"/>
          <w:szCs w:val="24"/>
          <w:lang w:val="uk-UA"/>
        </w:rPr>
        <w:t>визначити</w:t>
      </w:r>
      <w:r>
        <w:rPr>
          <w:rFonts w:ascii="Times New Roman" w:hAnsi="Times New Roman" w:cs="Times New Roman"/>
          <w:snapToGrid w:val="0"/>
          <w:sz w:val="24"/>
          <w:szCs w:val="24"/>
          <w:lang w:val="uk-UA"/>
        </w:rPr>
        <w:t xml:space="preserve"> умови, розмір і тривалість виплати допомоги з безробіття застрахованим особам.</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4. </w:t>
      </w:r>
      <w:r>
        <w:rPr>
          <w:rFonts w:ascii="Times New Roman" w:hAnsi="Times New Roman" w:cs="Times New Roman"/>
          <w:b/>
          <w:i/>
          <w:snapToGrid w:val="0"/>
          <w:sz w:val="24"/>
          <w:szCs w:val="24"/>
          <w:lang w:val="uk-UA"/>
        </w:rPr>
        <w:t>Надати</w:t>
      </w:r>
      <w:r>
        <w:rPr>
          <w:rFonts w:ascii="Times New Roman" w:hAnsi="Times New Roman" w:cs="Times New Roman"/>
          <w:snapToGrid w:val="0"/>
          <w:sz w:val="24"/>
          <w:szCs w:val="24"/>
          <w:lang w:val="uk-UA"/>
        </w:rPr>
        <w:t xml:space="preserve"> характеристику інших виплат матеріального забезпечення на випадок безробіття, забезпечення незастрахованих осіб.</w:t>
      </w:r>
    </w:p>
    <w:p>
      <w:pPr>
        <w:tabs>
          <w:tab w:val="left" w:pos="1418"/>
        </w:tabs>
        <w:spacing w:after="0" w:line="240" w:lineRule="auto"/>
        <w:jc w:val="center"/>
        <w:rPr>
          <w:rFonts w:ascii="Times New Roman" w:hAnsi="Times New Roman" w:cs="Times New Roman"/>
          <w:b/>
          <w:bCs/>
          <w:spacing w:val="-13"/>
          <w:sz w:val="24"/>
          <w:szCs w:val="24"/>
          <w:u w:val="single"/>
          <w:lang w:val="uk-UA"/>
        </w:rPr>
      </w:pPr>
      <w:r>
        <w:rPr>
          <w:rFonts w:ascii="Times New Roman" w:hAnsi="Times New Roman" w:cs="Times New Roman"/>
          <w:b/>
          <w:bCs/>
          <w:spacing w:val="-13"/>
          <w:sz w:val="24"/>
          <w:szCs w:val="24"/>
          <w:u w:val="single"/>
          <w:lang w:val="uk-UA"/>
        </w:rPr>
        <w:t>5. Практика у Департаменті соціальної політики</w:t>
      </w:r>
    </w:p>
    <w:p>
      <w:pPr>
        <w:tabs>
          <w:tab w:val="left" w:pos="1418"/>
        </w:tabs>
        <w:spacing w:after="0" w:line="240" w:lineRule="auto"/>
        <w:ind w:firstLine="567"/>
        <w:jc w:val="center"/>
        <w:rPr>
          <w:rFonts w:ascii="Times New Roman" w:hAnsi="Times New Roman" w:cs="Times New Roman"/>
          <w:b/>
          <w:bCs/>
          <w:spacing w:val="-13"/>
          <w:sz w:val="24"/>
          <w:szCs w:val="24"/>
          <w:lang w:val="uk-UA"/>
        </w:rPr>
      </w:pPr>
      <w:r>
        <w:rPr>
          <w:rFonts w:ascii="Times New Roman" w:hAnsi="Times New Roman" w:cs="Times New Roman"/>
          <w:b/>
          <w:sz w:val="24"/>
          <w:szCs w:val="24"/>
          <w:lang w:val="uk-UA"/>
        </w:rPr>
        <w:t>Частина 1</w:t>
      </w:r>
    </w:p>
    <w:p>
      <w:pPr>
        <w:shd w:val="clear" w:color="auto" w:fill="FFFFFF"/>
        <w:tabs>
          <w:tab w:val="left" w:pos="1418"/>
        </w:tabs>
        <w:spacing w:after="0" w:line="240" w:lineRule="auto"/>
        <w:ind w:firstLine="567"/>
        <w:jc w:val="both"/>
        <w:rPr>
          <w:rFonts w:ascii="Times New Roman" w:hAnsi="Times New Roman" w:cs="Times New Roman"/>
          <w:bCs/>
          <w:spacing w:val="-11"/>
          <w:sz w:val="24"/>
          <w:szCs w:val="24"/>
          <w:lang w:val="uk-UA"/>
        </w:rPr>
      </w:pPr>
      <w:r>
        <w:rPr>
          <w:rFonts w:ascii="Times New Roman" w:hAnsi="Times New Roman" w:cs="Times New Roman"/>
          <w:bCs/>
          <w:spacing w:val="-9"/>
          <w:sz w:val="24"/>
          <w:szCs w:val="24"/>
          <w:lang w:val="uk-UA"/>
        </w:rPr>
        <w:t xml:space="preserve">1. </w:t>
      </w:r>
      <w:r>
        <w:rPr>
          <w:rFonts w:ascii="Times New Roman" w:hAnsi="Times New Roman" w:cs="Times New Roman"/>
          <w:b/>
          <w:bCs/>
          <w:i/>
          <w:spacing w:val="-9"/>
          <w:sz w:val="24"/>
          <w:szCs w:val="24"/>
          <w:lang w:val="uk-UA"/>
        </w:rPr>
        <w:t>Ознайомитись</w:t>
      </w:r>
      <w:r>
        <w:rPr>
          <w:rFonts w:ascii="Times New Roman" w:hAnsi="Times New Roman" w:cs="Times New Roman"/>
          <w:bCs/>
          <w:spacing w:val="-9"/>
          <w:sz w:val="24"/>
          <w:szCs w:val="24"/>
          <w:lang w:val="uk-UA"/>
        </w:rPr>
        <w:t xml:space="preserve"> з Порядком створення та функціонування </w:t>
      </w:r>
      <w:r>
        <w:rPr>
          <w:rFonts w:ascii="Times New Roman" w:hAnsi="Times New Roman" w:cs="Times New Roman"/>
          <w:bCs/>
          <w:sz w:val="24"/>
          <w:szCs w:val="24"/>
        </w:rPr>
        <w:t>департамент</w:t>
      </w:r>
      <w:r>
        <w:rPr>
          <w:rFonts w:ascii="Times New Roman" w:hAnsi="Times New Roman" w:cs="Times New Roman"/>
          <w:bCs/>
          <w:sz w:val="24"/>
          <w:szCs w:val="24"/>
          <w:lang w:val="uk-UA"/>
        </w:rPr>
        <w:t>у</w:t>
      </w:r>
      <w:r>
        <w:rPr>
          <w:rFonts w:ascii="Times New Roman" w:hAnsi="Times New Roman" w:cs="Times New Roman"/>
          <w:bCs/>
          <w:sz w:val="24"/>
          <w:szCs w:val="24"/>
        </w:rPr>
        <w:t xml:space="preserve"> соціальної політики</w:t>
      </w:r>
      <w:r>
        <w:rPr>
          <w:rFonts w:ascii="Times New Roman" w:hAnsi="Times New Roman" w:cs="Times New Roman"/>
          <w:bCs/>
          <w:sz w:val="24"/>
          <w:szCs w:val="24"/>
          <w:lang w:val="uk-UA"/>
        </w:rPr>
        <w:t>, його</w:t>
      </w:r>
      <w:r>
        <w:rPr>
          <w:rFonts w:ascii="Times New Roman" w:hAnsi="Times New Roman" w:cs="Times New Roman"/>
          <w:bCs/>
          <w:spacing w:val="-9"/>
          <w:sz w:val="24"/>
          <w:szCs w:val="24"/>
          <w:lang w:val="uk-UA"/>
        </w:rPr>
        <w:t xml:space="preserve"> установчими документами, основними функціями, структурою та ієрархією </w:t>
      </w:r>
      <w:r>
        <w:rPr>
          <w:rFonts w:ascii="Times New Roman" w:hAnsi="Times New Roman" w:cs="Times New Roman"/>
          <w:bCs/>
          <w:spacing w:val="-8"/>
          <w:sz w:val="24"/>
          <w:szCs w:val="24"/>
          <w:lang w:val="uk-UA"/>
        </w:rPr>
        <w:t xml:space="preserve">органів управління (можна схематично), </w:t>
      </w:r>
      <w:r>
        <w:rPr>
          <w:rFonts w:ascii="Times New Roman" w:hAnsi="Times New Roman" w:cs="Times New Roman"/>
          <w:bCs/>
          <w:spacing w:val="-11"/>
          <w:sz w:val="24"/>
          <w:szCs w:val="24"/>
          <w:lang w:val="uk-UA"/>
        </w:rPr>
        <w:t xml:space="preserve">організаційно-правовою формою. </w:t>
      </w:r>
    </w:p>
    <w:p>
      <w:pPr>
        <w:pStyle w:val="60"/>
        <w:tabs>
          <w:tab w:val="left" w:pos="1418"/>
        </w:tabs>
        <w:ind w:firstLine="567"/>
        <w:jc w:val="both"/>
        <w:rPr>
          <w:bCs/>
          <w:color w:val="auto"/>
        </w:rPr>
      </w:pPr>
      <w:r>
        <w:rPr>
          <w:bCs/>
          <w:color w:val="auto"/>
          <w:spacing w:val="-11"/>
        </w:rPr>
        <w:t xml:space="preserve">2. </w:t>
      </w:r>
      <w:r>
        <w:rPr>
          <w:b/>
          <w:bCs/>
          <w:i/>
          <w:color w:val="auto"/>
          <w:spacing w:val="-10"/>
        </w:rPr>
        <w:t>Ознайомитись</w:t>
      </w:r>
      <w:r>
        <w:rPr>
          <w:bCs/>
          <w:color w:val="auto"/>
          <w:spacing w:val="-10"/>
        </w:rPr>
        <w:t xml:space="preserve"> з видами основної діяльності департаменту.  Навести перелік та дати коротку характеристику а</w:t>
      </w:r>
      <w:r>
        <w:rPr>
          <w:bCs/>
          <w:color w:val="auto"/>
        </w:rPr>
        <w:t xml:space="preserve">дміністративних послуг, які надає департамент соціальної політики: </w:t>
      </w:r>
    </w:p>
    <w:p>
      <w:pPr>
        <w:shd w:val="clear" w:color="auto" w:fill="FFFFFF"/>
        <w:tabs>
          <w:tab w:val="left" w:pos="1418"/>
        </w:tabs>
        <w:spacing w:after="0" w:line="240" w:lineRule="auto"/>
        <w:ind w:firstLine="567"/>
        <w:jc w:val="both"/>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 xml:space="preserve">3. </w:t>
      </w:r>
      <w:r>
        <w:rPr>
          <w:rFonts w:ascii="Times New Roman" w:hAnsi="Times New Roman" w:cs="Times New Roman"/>
          <w:b/>
          <w:bCs/>
          <w:i/>
          <w:spacing w:val="-4"/>
          <w:sz w:val="24"/>
          <w:szCs w:val="24"/>
          <w:lang w:val="uk-UA"/>
        </w:rPr>
        <w:t>Провести аналіз</w:t>
      </w:r>
      <w:r>
        <w:rPr>
          <w:rFonts w:ascii="Times New Roman" w:hAnsi="Times New Roman" w:cs="Times New Roman"/>
          <w:bCs/>
          <w:spacing w:val="-4"/>
          <w:sz w:val="24"/>
          <w:szCs w:val="24"/>
          <w:lang w:val="uk-UA"/>
        </w:rPr>
        <w:t xml:space="preserve"> джерел формування доходів</w:t>
      </w:r>
    </w:p>
    <w:p>
      <w:pPr>
        <w:shd w:val="clear" w:color="auto" w:fill="FFFFFF"/>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pacing w:val="-4"/>
          <w:sz w:val="24"/>
          <w:szCs w:val="24"/>
          <w:lang w:val="uk-UA"/>
        </w:rPr>
        <w:t xml:space="preserve">4. </w:t>
      </w:r>
      <w:r>
        <w:rPr>
          <w:rFonts w:ascii="Times New Roman" w:hAnsi="Times New Roman" w:cs="Times New Roman"/>
          <w:b/>
          <w:bCs/>
          <w:i/>
          <w:spacing w:val="-4"/>
          <w:sz w:val="24"/>
          <w:szCs w:val="24"/>
          <w:lang w:val="uk-UA"/>
        </w:rPr>
        <w:t>Дати оцінку</w:t>
      </w:r>
      <w:r>
        <w:rPr>
          <w:rFonts w:ascii="Times New Roman" w:hAnsi="Times New Roman" w:cs="Times New Roman"/>
          <w:bCs/>
          <w:spacing w:val="-4"/>
          <w:sz w:val="24"/>
          <w:szCs w:val="24"/>
          <w:lang w:val="uk-UA"/>
        </w:rPr>
        <w:t xml:space="preserve"> стану фінансування</w:t>
      </w:r>
      <w:r>
        <w:rPr>
          <w:rFonts w:ascii="Times New Roman" w:hAnsi="Times New Roman" w:cs="Times New Roman"/>
          <w:bCs/>
          <w:spacing w:val="-10"/>
          <w:sz w:val="24"/>
          <w:szCs w:val="24"/>
          <w:lang w:val="uk-UA"/>
        </w:rPr>
        <w:t xml:space="preserve"> видатків відповідного територіального органу </w:t>
      </w:r>
      <w:r>
        <w:rPr>
          <w:rFonts w:ascii="Times New Roman" w:hAnsi="Times New Roman" w:cs="Times New Roman"/>
          <w:bCs/>
          <w:sz w:val="24"/>
          <w:szCs w:val="24"/>
          <w:lang w:val="uk-UA"/>
        </w:rPr>
        <w:t>департаменту соціальної політики</w:t>
      </w:r>
      <w:r>
        <w:rPr>
          <w:rFonts w:ascii="Times New Roman" w:hAnsi="Times New Roman" w:cs="Times New Roman"/>
          <w:bCs/>
          <w:spacing w:val="-10"/>
          <w:sz w:val="24"/>
          <w:szCs w:val="24"/>
          <w:lang w:val="uk-UA"/>
        </w:rPr>
        <w:t>.</w:t>
      </w:r>
    </w:p>
    <w:p>
      <w:pPr>
        <w:tabs>
          <w:tab w:val="left" w:pos="1418"/>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shd w:val="clear" w:color="auto" w:fill="FFFFFF"/>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pacing w:val="-8"/>
          <w:sz w:val="24"/>
          <w:szCs w:val="24"/>
          <w:lang w:val="uk-UA"/>
        </w:rPr>
        <w:t xml:space="preserve">Проаналізувати стан надання послуг, що пропонуються </w:t>
      </w:r>
      <w:r>
        <w:rPr>
          <w:rFonts w:ascii="Times New Roman" w:hAnsi="Times New Roman" w:cs="Times New Roman"/>
          <w:bCs/>
          <w:sz w:val="24"/>
          <w:szCs w:val="24"/>
          <w:lang w:val="uk-UA"/>
        </w:rPr>
        <w:t>департаментом соціальної політики</w:t>
      </w:r>
      <w:r>
        <w:rPr>
          <w:rFonts w:ascii="Times New Roman" w:hAnsi="Times New Roman" w:cs="Times New Roman"/>
          <w:bCs/>
          <w:spacing w:val="-11"/>
          <w:sz w:val="24"/>
          <w:szCs w:val="24"/>
          <w:lang w:val="uk-UA"/>
        </w:rPr>
        <w:t xml:space="preserve"> (вибірково </w:t>
      </w:r>
      <w:r>
        <w:rPr>
          <w:rFonts w:ascii="Times New Roman" w:hAnsi="Times New Roman" w:cs="Times New Roman"/>
          <w:bCs/>
          <w:i/>
          <w:spacing w:val="-11"/>
          <w:sz w:val="24"/>
          <w:szCs w:val="24"/>
          <w:lang w:val="uk-UA"/>
        </w:rPr>
        <w:t>(6 пунктів – за вибором студента)</w:t>
      </w:r>
      <w:r>
        <w:rPr>
          <w:rFonts w:ascii="Times New Roman" w:hAnsi="Times New Roman" w:cs="Times New Roman"/>
          <w:bCs/>
          <w:spacing w:val="-11"/>
          <w:sz w:val="24"/>
          <w:szCs w:val="24"/>
          <w:lang w:val="uk-UA"/>
        </w:rPr>
        <w:t>, виходячи з таких умов: наявність послуги у територіальному органі; вагомість і частота надання послуги, обсяг звіту з практики):</w:t>
      </w:r>
    </w:p>
    <w:p>
      <w:pPr>
        <w:pStyle w:val="60"/>
        <w:tabs>
          <w:tab w:val="left" w:pos="1418"/>
        </w:tabs>
        <w:ind w:firstLine="567"/>
        <w:jc w:val="both"/>
        <w:rPr>
          <w:color w:val="auto"/>
        </w:rPr>
      </w:pPr>
      <w:r>
        <w:rPr>
          <w:color w:val="auto"/>
        </w:rPr>
        <w:t xml:space="preserve">1. </w:t>
      </w:r>
      <w:r>
        <w:rPr>
          <w:b/>
          <w:i/>
          <w:color w:val="auto"/>
        </w:rPr>
        <w:t xml:space="preserve">Вивчити </w:t>
      </w:r>
      <w:r>
        <w:rPr>
          <w:color w:val="auto"/>
        </w:rPr>
        <w:t>порядок встановлення статусу учасника війни для осіб, які в період війни працювали в індивідуальному господарстві;  Надання допомоги на поховання; Встановлення статусу вдови померлого (загиблого) ветерана війни); Встановлення статусу інваліда війни; Надання статусу постраждалого внаслідок Чорнобильської катастрофи; Надання компенсацій за проїзд міжміським транспортом (в межах України) особам, які постраждали внаслідок Чорнобильської катастрофи; Виплата компенсації за продукти харчування, щорічної допомоги на оздоровлення та за шкоду, заподіяну здоров’ю громадянам, які постраждали внаслідок Чорнобильської катастрофи; Надання компенсацій та пільг дітям, які потерпіли внаслідок Чорнобильської катастрофи та їх батькам; Надання статусу ветерана ОУН-УПА; Надання матеріальної допомоги; Надання статусу ветерана праці;  Забезпечення путівками на санаторно-курортне лікування інвалідів, ветеранів війни та праці чи відшкодування за невикористану путівку на санаторно-курортне лікування інвалідам війни.</w:t>
      </w:r>
    </w:p>
    <w:p>
      <w:pPr>
        <w:pStyle w:val="60"/>
        <w:tabs>
          <w:tab w:val="left" w:pos="1418"/>
        </w:tabs>
        <w:ind w:firstLine="567"/>
        <w:jc w:val="both"/>
        <w:rPr>
          <w:color w:val="auto"/>
        </w:rPr>
      </w:pPr>
      <w:r>
        <w:rPr>
          <w:color w:val="auto"/>
        </w:rPr>
        <w:t xml:space="preserve">2. </w:t>
      </w:r>
      <w:r>
        <w:rPr>
          <w:b/>
          <w:i/>
          <w:color w:val="auto"/>
        </w:rPr>
        <w:t>Вивчити</w:t>
      </w:r>
      <w:r>
        <w:rPr>
          <w:color w:val="auto"/>
        </w:rPr>
        <w:t xml:space="preserve"> порядок надання путівки на оздоровлення або компенсації середньої вартості путівки; призначення державної соціальної допомоги малозабезпеченим сім’ям; призначення державної соціальної допомоги на дітей сиріт та дітей, позбавлених батьківського піклування і грошове забезпечення батькам-вихователям і прийомним батькам; призначення державної соціальної допомоги інвалідам з дитинства та дітям-інвалідам; призначення тимчасової допомоги дітям, батьки яких ухиляються від сплати аліментів, не мають можливості утримувати дитину або місце проживання їх невідоме; призначення щомісячної компенсації, що надається працездатним непрацюючим особам на догляд за перестарілим та інвалідами І групи; призначення державної соціальної допомоги особам, які не мають права на пенсію та інвалідам; призначення державної допомоги сім’ям з дітьми; призначення компенсації фізичним особам, які надають соціальні послуги; призначення надбавки на догляд за дитиною-інвалідом; призначення субсидій на оплату житлово-комунальних послуг населенню.</w:t>
      </w:r>
    </w:p>
    <w:p>
      <w:pPr>
        <w:pStyle w:val="60"/>
        <w:tabs>
          <w:tab w:val="left" w:pos="1418"/>
        </w:tabs>
        <w:ind w:firstLine="567"/>
        <w:jc w:val="both"/>
        <w:rPr>
          <w:color w:val="auto"/>
        </w:rPr>
      </w:pPr>
      <w:r>
        <w:rPr>
          <w:color w:val="auto"/>
        </w:rPr>
        <w:t xml:space="preserve">3. </w:t>
      </w:r>
      <w:r>
        <w:rPr>
          <w:b/>
          <w:i/>
          <w:color w:val="auto"/>
        </w:rPr>
        <w:t xml:space="preserve">Вивчити </w:t>
      </w:r>
      <w:r>
        <w:rPr>
          <w:color w:val="auto"/>
        </w:rPr>
        <w:t xml:space="preserve">порядок видачі скерування в протезні дільниці та забезпечення окремих категорій населення технічними та іншими засобами реабілітації і формування відповідного державного замовлення; </w:t>
      </w:r>
      <w:r>
        <w:rPr>
          <w:rStyle w:val="34"/>
          <w:rFonts w:ascii="Times New Roman" w:hAnsi="Times New Roman"/>
          <w:b w:val="0"/>
          <w:color w:val="auto"/>
          <w:sz w:val="24"/>
          <w:szCs w:val="24"/>
          <w:shd w:val="clear" w:color="auto" w:fill="FFFFFF"/>
        </w:rPr>
        <w:t xml:space="preserve">надання та </w:t>
      </w:r>
      <w:r>
        <w:rPr>
          <w:bCs/>
          <w:color w:val="auto"/>
          <w:lang w:eastAsia="ru-RU"/>
        </w:rPr>
        <w:t>виплати матеріальної допомоги учасникам АТО та членам їх сімей.</w:t>
      </w:r>
    </w:p>
    <w:p>
      <w:pPr>
        <w:pStyle w:val="60"/>
        <w:tabs>
          <w:tab w:val="left" w:pos="1418"/>
        </w:tabs>
        <w:ind w:firstLine="567"/>
        <w:jc w:val="both"/>
        <w:rPr>
          <w:color w:val="auto"/>
        </w:rPr>
      </w:pPr>
      <w:r>
        <w:rPr>
          <w:color w:val="auto"/>
        </w:rPr>
        <w:t>4</w:t>
      </w:r>
      <w:r>
        <w:rPr>
          <w:bCs/>
          <w:color w:val="auto"/>
          <w:lang w:val="ru-RU" w:eastAsia="ru-RU"/>
        </w:rPr>
        <w:t xml:space="preserve">. </w:t>
      </w:r>
      <w:r>
        <w:rPr>
          <w:b/>
          <w:bCs/>
          <w:i/>
          <w:color w:val="auto"/>
          <w:lang w:val="ru-RU" w:eastAsia="ru-RU"/>
        </w:rPr>
        <w:t>Вивчити</w:t>
      </w:r>
      <w:r>
        <w:rPr>
          <w:bCs/>
          <w:color w:val="auto"/>
          <w:lang w:val="ru-RU" w:eastAsia="ru-RU"/>
        </w:rPr>
        <w:t xml:space="preserve"> умови </w:t>
      </w:r>
      <w:r>
        <w:rPr>
          <w:bCs/>
          <w:color w:val="auto"/>
          <w:shd w:val="clear" w:color="auto" w:fill="FFFFFF"/>
        </w:rPr>
        <w:t>соціального забезпечення громадян України, які переміщуються з тимчасово окупованої території та районів проведення антитерористичної операції.</w:t>
      </w:r>
    </w:p>
    <w:p>
      <w:pPr>
        <w:pStyle w:val="60"/>
        <w:tabs>
          <w:tab w:val="left" w:pos="1418"/>
        </w:tabs>
        <w:ind w:firstLine="567"/>
        <w:jc w:val="both"/>
        <w:rPr>
          <w:color w:val="auto"/>
        </w:rPr>
      </w:pPr>
      <w:r>
        <w:rPr>
          <w:bCs/>
          <w:color w:val="auto"/>
          <w:spacing w:val="-10"/>
        </w:rPr>
        <w:t>5.</w:t>
      </w:r>
      <w:r>
        <w:rPr>
          <w:b/>
          <w:bCs/>
          <w:color w:val="auto"/>
          <w:spacing w:val="-10"/>
        </w:rPr>
        <w:t xml:space="preserve"> </w:t>
      </w:r>
      <w:r>
        <w:rPr>
          <w:b/>
          <w:bCs/>
          <w:i/>
          <w:color w:val="auto"/>
          <w:spacing w:val="-10"/>
        </w:rPr>
        <w:t>Вивчити</w:t>
      </w:r>
      <w:r>
        <w:rPr>
          <w:b/>
          <w:bCs/>
          <w:color w:val="auto"/>
          <w:spacing w:val="-10"/>
        </w:rPr>
        <w:t xml:space="preserve"> </w:t>
      </w:r>
      <w:r>
        <w:rPr>
          <w:bCs/>
          <w:color w:val="auto"/>
          <w:spacing w:val="-10"/>
        </w:rPr>
        <w:t xml:space="preserve">особливості додаткових послуг: </w:t>
      </w:r>
      <w:r>
        <w:rPr>
          <w:color w:val="auto"/>
          <w:spacing w:val="-6"/>
        </w:rPr>
        <w:t xml:space="preserve">Надання консультації з питань охорони праці, оплати праці, соціального захисту </w:t>
      </w:r>
      <w:r>
        <w:rPr>
          <w:color w:val="auto"/>
          <w:spacing w:val="-10"/>
        </w:rPr>
        <w:t xml:space="preserve">потерпілих від нещасних випадків на виробництві; Нарахування компенсації частини заробітної плати її виплати; Експертиза та реєстрація колективних договорів; </w:t>
      </w:r>
      <w:r>
        <w:rPr>
          <w:color w:val="auto"/>
          <w:spacing w:val="-9"/>
        </w:rPr>
        <w:t xml:space="preserve">Перевірка стану безпеки праці, гігієни праці та виробничого середовища на виробничих об'єктах; </w:t>
      </w:r>
      <w:r>
        <w:rPr>
          <w:color w:val="auto"/>
          <w:spacing w:val="-6"/>
        </w:rPr>
        <w:t xml:space="preserve">Контроль за своєчасністю виплати та не нижче встановленого державою </w:t>
      </w:r>
      <w:r>
        <w:rPr>
          <w:color w:val="auto"/>
          <w:spacing w:val="-12"/>
        </w:rPr>
        <w:t xml:space="preserve">мінімуму зарплати; </w:t>
      </w:r>
      <w:r>
        <w:rPr>
          <w:color w:val="auto"/>
          <w:spacing w:val="-10"/>
        </w:rPr>
        <w:t>Навчання працівників та перевірка їх знань з питань охорони праці; Контроль за виконанням програми зайнятості населення.</w:t>
      </w:r>
    </w:p>
    <w:p>
      <w:pPr>
        <w:tabs>
          <w:tab w:val="left" w:pos="1418"/>
        </w:tabs>
        <w:autoSpaceDE w:val="0"/>
        <w:autoSpaceDN w:val="0"/>
        <w:spacing w:after="0" w:line="240" w:lineRule="auto"/>
        <w:ind w:left="567"/>
        <w:jc w:val="center"/>
        <w:rPr>
          <w:rFonts w:ascii="Times New Roman" w:hAnsi="Times New Roman" w:cs="Times New Roman"/>
          <w:b/>
          <w:spacing w:val="-9"/>
          <w:sz w:val="24"/>
          <w:szCs w:val="24"/>
          <w:u w:val="single"/>
          <w:lang w:val="uk-UA"/>
        </w:rPr>
      </w:pPr>
      <w:r>
        <w:rPr>
          <w:rFonts w:ascii="Times New Roman" w:hAnsi="Times New Roman" w:cs="Times New Roman"/>
          <w:b/>
          <w:bCs/>
          <w:sz w:val="24"/>
          <w:szCs w:val="24"/>
          <w:u w:val="single"/>
          <w:lang w:val="uk-UA"/>
        </w:rPr>
        <w:t>6.</w:t>
      </w:r>
      <w:r>
        <w:rPr>
          <w:rFonts w:ascii="Times New Roman" w:hAnsi="Times New Roman" w:cs="Times New Roman"/>
          <w:b/>
          <w:spacing w:val="-9"/>
          <w:sz w:val="24"/>
          <w:szCs w:val="24"/>
          <w:u w:val="single"/>
        </w:rPr>
        <w:t xml:space="preserve"> </w:t>
      </w:r>
      <w:r>
        <w:rPr>
          <w:rFonts w:ascii="Times New Roman" w:hAnsi="Times New Roman" w:cs="Times New Roman"/>
          <w:b/>
          <w:spacing w:val="-9"/>
          <w:sz w:val="24"/>
          <w:szCs w:val="24"/>
          <w:u w:val="single"/>
          <w:lang w:val="uk-UA"/>
        </w:rPr>
        <w:t>Практика у громадських об’єднаннях (ГО)</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1</w:t>
      </w:r>
    </w:p>
    <w:p>
      <w:pPr>
        <w:shd w:val="clear" w:color="auto" w:fill="FFFFFF"/>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pacing w:val="-9"/>
          <w:sz w:val="24"/>
          <w:szCs w:val="24"/>
          <w:lang w:val="uk-UA"/>
        </w:rPr>
        <w:t>1.</w:t>
      </w:r>
      <w:r>
        <w:rPr>
          <w:rFonts w:ascii="Times New Roman" w:hAnsi="Times New Roman" w:cs="Times New Roman"/>
          <w:b/>
          <w:i/>
          <w:spacing w:val="-9"/>
          <w:sz w:val="24"/>
          <w:szCs w:val="24"/>
          <w:lang w:val="uk-UA"/>
        </w:rPr>
        <w:t xml:space="preserve"> Ознайомитись</w:t>
      </w:r>
      <w:r>
        <w:rPr>
          <w:rFonts w:ascii="Times New Roman" w:hAnsi="Times New Roman" w:cs="Times New Roman"/>
          <w:spacing w:val="-9"/>
          <w:sz w:val="24"/>
          <w:szCs w:val="24"/>
          <w:lang w:val="uk-UA"/>
        </w:rPr>
        <w:t xml:space="preserve"> з установчими документами </w:t>
      </w:r>
      <w:r>
        <w:rPr>
          <w:rFonts w:ascii="Times New Roman" w:hAnsi="Times New Roman" w:cs="Times New Roman"/>
          <w:spacing w:val="-9"/>
          <w:sz w:val="24"/>
          <w:szCs w:val="24"/>
        </w:rPr>
        <w:t>громадської</w:t>
      </w:r>
      <w:r>
        <w:rPr>
          <w:rFonts w:ascii="Times New Roman" w:hAnsi="Times New Roman" w:cs="Times New Roman"/>
          <w:spacing w:val="-9"/>
          <w:sz w:val="24"/>
          <w:szCs w:val="24"/>
          <w:lang w:val="uk-UA"/>
        </w:rPr>
        <w:t xml:space="preserve"> установи, ієрархією </w:t>
      </w:r>
      <w:r>
        <w:rPr>
          <w:rFonts w:ascii="Times New Roman" w:hAnsi="Times New Roman" w:cs="Times New Roman"/>
          <w:spacing w:val="-8"/>
          <w:sz w:val="24"/>
          <w:szCs w:val="24"/>
          <w:lang w:val="uk-UA"/>
        </w:rPr>
        <w:t xml:space="preserve">органів управління ГО, </w:t>
      </w:r>
      <w:r>
        <w:rPr>
          <w:rFonts w:ascii="Times New Roman" w:hAnsi="Times New Roman" w:cs="Times New Roman"/>
          <w:spacing w:val="-11"/>
          <w:sz w:val="24"/>
          <w:szCs w:val="24"/>
          <w:lang w:val="uk-UA"/>
        </w:rPr>
        <w:t xml:space="preserve">організаційно-правовою формою, т.п.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нормативними актами, якими керуються  громадські організації, установи.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b/>
          <w:i/>
          <w:spacing w:val="-11"/>
          <w:sz w:val="24"/>
          <w:szCs w:val="24"/>
          <w:lang w:val="uk-UA"/>
        </w:rPr>
        <w:t>Дати характеристику</w:t>
      </w:r>
      <w:r>
        <w:rPr>
          <w:rFonts w:ascii="Times New Roman" w:hAnsi="Times New Roman" w:cs="Times New Roman"/>
          <w:spacing w:val="-11"/>
          <w:sz w:val="24"/>
          <w:szCs w:val="24"/>
          <w:lang w:val="uk-UA"/>
        </w:rPr>
        <w:t xml:space="preserve"> основних видів ГО відповідно до законодавства «Про громадські об'єднання». </w:t>
      </w:r>
      <w:r>
        <w:rPr>
          <w:rFonts w:ascii="Times New Roman" w:hAnsi="Times New Roman" w:cs="Times New Roman"/>
          <w:b/>
          <w:i/>
          <w:sz w:val="24"/>
          <w:szCs w:val="24"/>
          <w:lang w:val="uk-UA"/>
        </w:rPr>
        <w:t>Описати</w:t>
      </w:r>
      <w:r>
        <w:rPr>
          <w:rFonts w:ascii="Times New Roman" w:hAnsi="Times New Roman" w:cs="Times New Roman"/>
          <w:sz w:val="24"/>
          <w:szCs w:val="24"/>
          <w:lang w:val="uk-UA"/>
        </w:rPr>
        <w:t xml:space="preserve"> порядок створення та реєстрації ГО. </w:t>
      </w:r>
    </w:p>
    <w:p>
      <w:pPr>
        <w:shd w:val="clear" w:color="auto" w:fill="FFFFFF"/>
        <w:tabs>
          <w:tab w:val="left" w:pos="1418"/>
        </w:tabs>
        <w:spacing w:after="0" w:line="240" w:lineRule="auto"/>
        <w:ind w:firstLine="567"/>
        <w:jc w:val="both"/>
        <w:rPr>
          <w:rFonts w:ascii="Times New Roman" w:hAnsi="Times New Roman" w:cs="Times New Roman"/>
          <w:spacing w:val="-11"/>
          <w:sz w:val="24"/>
          <w:szCs w:val="24"/>
        </w:rPr>
      </w:pPr>
      <w:r>
        <w:rPr>
          <w:rFonts w:ascii="Times New Roman" w:hAnsi="Times New Roman" w:cs="Times New Roman"/>
          <w:spacing w:val="-10"/>
          <w:sz w:val="24"/>
          <w:szCs w:val="24"/>
          <w:lang w:val="uk-UA"/>
        </w:rPr>
        <w:t>3. </w:t>
      </w:r>
      <w:r>
        <w:rPr>
          <w:rFonts w:ascii="Times New Roman" w:hAnsi="Times New Roman" w:cs="Times New Roman"/>
          <w:b/>
          <w:i/>
          <w:spacing w:val="-10"/>
          <w:sz w:val="24"/>
          <w:szCs w:val="24"/>
          <w:lang w:val="uk-UA"/>
        </w:rPr>
        <w:t>З'ясувати</w:t>
      </w:r>
      <w:r>
        <w:rPr>
          <w:rFonts w:ascii="Times New Roman" w:hAnsi="Times New Roman" w:cs="Times New Roman"/>
          <w:spacing w:val="-10"/>
          <w:sz w:val="24"/>
          <w:szCs w:val="24"/>
          <w:lang w:val="uk-UA"/>
        </w:rPr>
        <w:t xml:space="preserve"> мету та види основної діяльності (згідно </w:t>
      </w:r>
      <w:r>
        <w:rPr>
          <w:rFonts w:ascii="Times New Roman" w:hAnsi="Times New Roman" w:cs="Times New Roman"/>
          <w:spacing w:val="-11"/>
          <w:sz w:val="24"/>
          <w:szCs w:val="24"/>
          <w:lang w:val="uk-UA"/>
        </w:rPr>
        <w:t>законодавства та  установчих документів ГО).</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tabs>
          <w:tab w:val="left" w:pos="1418"/>
        </w:tabs>
        <w:spacing w:after="0" w:line="240" w:lineRule="auto"/>
        <w:ind w:firstLine="567"/>
        <w:jc w:val="both"/>
        <w:rPr>
          <w:rFonts w:ascii="Times New Roman" w:hAnsi="Times New Roman" w:cs="Times New Roman"/>
          <w:spacing w:val="-10"/>
          <w:sz w:val="24"/>
          <w:szCs w:val="24"/>
          <w:lang w:val="uk-UA"/>
        </w:rPr>
      </w:pPr>
      <w:r>
        <w:rPr>
          <w:rFonts w:ascii="Times New Roman" w:hAnsi="Times New Roman" w:cs="Times New Roman"/>
          <w:sz w:val="24"/>
          <w:szCs w:val="24"/>
          <w:lang w:val="uk-UA"/>
        </w:rPr>
        <w:t xml:space="preserve">1. </w:t>
      </w:r>
      <w:r>
        <w:rPr>
          <w:rFonts w:ascii="Times New Roman" w:hAnsi="Times New Roman" w:cs="Times New Roman"/>
          <w:b/>
          <w:i/>
          <w:spacing w:val="-4"/>
          <w:sz w:val="24"/>
          <w:szCs w:val="24"/>
          <w:lang w:val="uk-UA"/>
        </w:rPr>
        <w:t>Провести аналіз</w:t>
      </w:r>
      <w:r>
        <w:rPr>
          <w:rFonts w:ascii="Times New Roman" w:hAnsi="Times New Roman" w:cs="Times New Roman"/>
          <w:spacing w:val="-4"/>
          <w:sz w:val="24"/>
          <w:szCs w:val="24"/>
          <w:lang w:val="uk-UA"/>
        </w:rPr>
        <w:t xml:space="preserve"> джерел формування доходів і дати оцінку фінансового </w:t>
      </w:r>
      <w:r>
        <w:rPr>
          <w:rFonts w:ascii="Times New Roman" w:hAnsi="Times New Roman" w:cs="Times New Roman"/>
          <w:spacing w:val="-10"/>
          <w:sz w:val="24"/>
          <w:szCs w:val="24"/>
          <w:lang w:val="uk-UA"/>
        </w:rPr>
        <w:t>забезпечення ГО.</w:t>
      </w:r>
    </w:p>
    <w:p>
      <w:pPr>
        <w:shd w:val="clear" w:color="auto" w:fill="FFFFFF"/>
        <w:tabs>
          <w:tab w:val="left" w:pos="1418"/>
        </w:tabs>
        <w:spacing w:after="0" w:line="240" w:lineRule="auto"/>
        <w:ind w:firstLine="567"/>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 xml:space="preserve">2. </w:t>
      </w:r>
      <w:r>
        <w:rPr>
          <w:rFonts w:ascii="Times New Roman" w:hAnsi="Times New Roman" w:cs="Times New Roman"/>
          <w:b/>
          <w:i/>
          <w:spacing w:val="-10"/>
          <w:sz w:val="24"/>
          <w:szCs w:val="24"/>
          <w:lang w:val="uk-UA"/>
        </w:rPr>
        <w:t>Проаналізувати видатки</w:t>
      </w:r>
      <w:r>
        <w:rPr>
          <w:rFonts w:ascii="Times New Roman" w:hAnsi="Times New Roman" w:cs="Times New Roman"/>
          <w:spacing w:val="-10"/>
          <w:sz w:val="24"/>
          <w:szCs w:val="24"/>
          <w:lang w:val="uk-UA"/>
        </w:rPr>
        <w:t xml:space="preserve"> ГО, дати характеристику напрямам витрачання коштів ГО.</w:t>
      </w:r>
    </w:p>
    <w:p>
      <w:pPr>
        <w:shd w:val="clear" w:color="auto" w:fill="FFFFFF"/>
        <w:tabs>
          <w:tab w:val="left" w:pos="1418"/>
        </w:tabs>
        <w:spacing w:after="0" w:line="240" w:lineRule="auto"/>
        <w:ind w:firstLine="567"/>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 xml:space="preserve">3. </w:t>
      </w:r>
      <w:r>
        <w:rPr>
          <w:rFonts w:ascii="Times New Roman" w:hAnsi="Times New Roman" w:cs="Times New Roman"/>
          <w:b/>
          <w:i/>
          <w:spacing w:val="-10"/>
          <w:sz w:val="24"/>
          <w:szCs w:val="24"/>
          <w:lang w:val="uk-UA"/>
        </w:rPr>
        <w:t>Охарактеризувати</w:t>
      </w:r>
      <w:r>
        <w:rPr>
          <w:rFonts w:ascii="Times New Roman" w:hAnsi="Times New Roman" w:cs="Times New Roman"/>
          <w:spacing w:val="-10"/>
          <w:sz w:val="24"/>
          <w:szCs w:val="24"/>
          <w:lang w:val="uk-UA"/>
        </w:rPr>
        <w:t xml:space="preserve"> особливості оподаткування доходів (прибутків) ГО. Порядок включення до Реєстру неприбуткових організацій </w:t>
      </w:r>
      <w:r>
        <w:rPr>
          <w:rFonts w:ascii="Times New Roman" w:hAnsi="Times New Roman" w:cs="Times New Roman"/>
          <w:i/>
          <w:spacing w:val="-10"/>
          <w:sz w:val="24"/>
          <w:szCs w:val="24"/>
          <w:lang w:val="uk-UA"/>
        </w:rPr>
        <w:t xml:space="preserve">(за умови, що ГО має неприбутковий статус). </w:t>
      </w:r>
      <w:r>
        <w:rPr>
          <w:rFonts w:ascii="Times New Roman" w:hAnsi="Times New Roman" w:cs="Times New Roman"/>
          <w:spacing w:val="-10"/>
          <w:sz w:val="24"/>
          <w:szCs w:val="24"/>
          <w:lang w:val="uk-UA"/>
        </w:rPr>
        <w:t>Дати характеристику основним формам звітності ГО.</w:t>
      </w:r>
    </w:p>
    <w:p>
      <w:pPr>
        <w:tabs>
          <w:tab w:val="left" w:pos="1418"/>
        </w:tabs>
        <w:spacing w:after="0" w:line="240" w:lineRule="auto"/>
        <w:ind w:firstLine="567"/>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7. Практика на підприємствах</w:t>
      </w:r>
    </w:p>
    <w:p>
      <w:pPr>
        <w:widowControl w:val="0"/>
        <w:tabs>
          <w:tab w:val="left" w:pos="1418"/>
        </w:tabs>
        <w:adjustRightInd w:val="0"/>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1</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 Загальна характеристика об’єкту дослідження. </w:t>
      </w:r>
    </w:p>
    <w:p>
      <w:pPr>
        <w:tabs>
          <w:tab w:val="left" w:pos="1418"/>
        </w:tabs>
        <w:spacing w:after="0" w:line="240" w:lineRule="auto"/>
        <w:ind w:firstLine="567"/>
        <w:jc w:val="both"/>
        <w:rPr>
          <w:rFonts w:ascii="Times New Roman" w:hAnsi="Times New Roman" w:cs="Times New Roman"/>
          <w:bCs/>
          <w:i/>
          <w:iCs/>
          <w:sz w:val="24"/>
          <w:szCs w:val="24"/>
          <w:lang w:val="uk-UA"/>
        </w:rPr>
      </w:pPr>
      <w:r>
        <w:rPr>
          <w:rFonts w:ascii="Times New Roman" w:hAnsi="Times New Roman" w:cs="Times New Roman"/>
          <w:bCs/>
          <w:sz w:val="24"/>
          <w:szCs w:val="24"/>
          <w:lang w:val="uk-UA"/>
        </w:rPr>
        <w:t>2. Основний капітал підприємства, аналіз джерел формування та використання:</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3. Оборотний капітал підприємства: аналіз джерел формування та використання:</w:t>
      </w:r>
    </w:p>
    <w:p>
      <w:pPr>
        <w:tabs>
          <w:tab w:val="left" w:pos="993"/>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4. Трудові ресурси підприємства: використання та організація оплати праці.</w:t>
      </w:r>
    </w:p>
    <w:p>
      <w:pPr>
        <w:tabs>
          <w:tab w:val="left" w:pos="920"/>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5. Порядок грошових розрахунків підприємства.</w:t>
      </w:r>
      <w:r>
        <w:rPr>
          <w:rFonts w:ascii="Times New Roman" w:hAnsi="Times New Roman" w:cs="Times New Roman"/>
          <w:sz w:val="24"/>
          <w:szCs w:val="24"/>
          <w:lang w:val="uk-UA"/>
        </w:rPr>
        <w:t xml:space="preserve"> </w:t>
      </w:r>
    </w:p>
    <w:p>
      <w:pPr>
        <w:tabs>
          <w:tab w:val="left" w:pos="426"/>
          <w:tab w:val="left" w:pos="709"/>
          <w:tab w:val="left" w:pos="1418"/>
        </w:tabs>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b/>
          <w:sz w:val="24"/>
          <w:szCs w:val="24"/>
          <w:lang w:val="uk-UA"/>
        </w:rPr>
        <w:t>Частина 2</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1. Аналіз доходів та витрат підприємства.</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2. Аналіз грошових потоків підприємства.</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3. Аналіз інвестиційної діяльності підприємства.</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4. Аналіз податкового навантаження на підприємство.</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5. Оцінка фінансового стану підприємства.</w:t>
      </w:r>
    </w:p>
    <w:p>
      <w:pPr>
        <w:tabs>
          <w:tab w:val="left" w:pos="1418"/>
        </w:tabs>
        <w:spacing w:after="0" w:line="240" w:lineRule="auto"/>
        <w:ind w:firstLine="567"/>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8. Практика в банківських установах</w:t>
      </w:r>
    </w:p>
    <w:p>
      <w:pPr>
        <w:widowControl w:val="0"/>
        <w:tabs>
          <w:tab w:val="left" w:pos="1418"/>
        </w:tabs>
        <w:adjustRightInd w:val="0"/>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1</w:t>
      </w:r>
    </w:p>
    <w:p>
      <w:pPr>
        <w:numPr>
          <w:ilvl w:val="0"/>
          <w:numId w:val="7"/>
        </w:numPr>
        <w:tabs>
          <w:tab w:val="left" w:pos="851"/>
          <w:tab w:val="left" w:pos="1134"/>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Загальна характеристика банку.</w:t>
      </w:r>
    </w:p>
    <w:p>
      <w:pPr>
        <w:tabs>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організаційну структуру банку (центральний апарат, філії, відділення), органи управління, їх повноваження, функціональні підрозділи банку (управління, відділи відобразити схемами, показати їх підпорядкованість, описати основні функції). </w:t>
      </w:r>
      <w:r>
        <w:rPr>
          <w:rFonts w:ascii="Times New Roman" w:hAnsi="Times New Roman" w:cs="Times New Roman"/>
          <w:b/>
          <w:i/>
          <w:sz w:val="24"/>
          <w:szCs w:val="24"/>
          <w:lang w:val="uk-UA"/>
        </w:rPr>
        <w:t>Описати</w:t>
      </w:r>
      <w:r>
        <w:rPr>
          <w:rFonts w:ascii="Times New Roman" w:hAnsi="Times New Roman" w:cs="Times New Roman"/>
          <w:sz w:val="24"/>
          <w:szCs w:val="24"/>
          <w:lang w:val="uk-UA"/>
        </w:rPr>
        <w:t xml:space="preserve"> порядок створення банку (філії). </w:t>
      </w:r>
      <w:r>
        <w:rPr>
          <w:rFonts w:ascii="Times New Roman" w:hAnsi="Times New Roman" w:cs="Times New Roman"/>
          <w:b/>
          <w:i/>
          <w:sz w:val="24"/>
          <w:szCs w:val="24"/>
          <w:lang w:val="uk-UA"/>
        </w:rPr>
        <w:t>Охарактеризувати</w:t>
      </w:r>
      <w:r>
        <w:rPr>
          <w:rFonts w:ascii="Times New Roman" w:hAnsi="Times New Roman" w:cs="Times New Roman"/>
          <w:sz w:val="24"/>
          <w:szCs w:val="24"/>
          <w:lang w:val="uk-UA"/>
        </w:rPr>
        <w:t xml:space="preserve"> структуру клієнтів банку, їх галузеву приналежність.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нормативними актами, якими керуються банківські установи.</w:t>
      </w:r>
    </w:p>
    <w:p>
      <w:pPr>
        <w:numPr>
          <w:ilvl w:val="0"/>
          <w:numId w:val="7"/>
        </w:numPr>
        <w:tabs>
          <w:tab w:val="left" w:pos="851"/>
          <w:tab w:val="left" w:pos="1134"/>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Формування ресурсів банку.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структуру й порядок формування власного капіталу банку в динаміці за 2 роки. </w:t>
      </w: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склад і структуру залучених коштів банку. </w:t>
      </w:r>
      <w:r>
        <w:rPr>
          <w:rFonts w:ascii="Times New Roman" w:hAnsi="Times New Roman" w:cs="Times New Roman"/>
          <w:b/>
          <w:i/>
          <w:sz w:val="24"/>
          <w:szCs w:val="24"/>
          <w:lang w:val="uk-UA"/>
        </w:rPr>
        <w:t xml:space="preserve">Охарактеризувати </w:t>
      </w:r>
      <w:r>
        <w:rPr>
          <w:rFonts w:ascii="Times New Roman" w:hAnsi="Times New Roman" w:cs="Times New Roman"/>
          <w:sz w:val="24"/>
          <w:szCs w:val="24"/>
          <w:lang w:val="uk-UA"/>
        </w:rPr>
        <w:t xml:space="preserve">депозитні операції банку. Види вкладів, їх характеристика. </w:t>
      </w: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діяльність банку щодо залучення депозитів за 2 роки. Розрахунок простих і складних процентів за вкладами.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систему гарантування вкладів фізичних осіб.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порядок залучення ресурсів на міжбанківському ринку та отримання кредитів рефінансування від НБУ. </w:t>
      </w: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 xml:space="preserve">систему управління банківськими ресурсами. </w:t>
      </w:r>
    </w:p>
    <w:p>
      <w:pPr>
        <w:numPr>
          <w:ilvl w:val="0"/>
          <w:numId w:val="7"/>
        </w:numPr>
        <w:tabs>
          <w:tab w:val="left" w:pos="851"/>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Розрахункові операції банків.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порядок організації операційної діяльності в банку. Описати порядок відкриття, ведення та закриття банками рахунків (депозитних, поточних, позичкових) у національній валюті. Порядок укладання договорів  банківського рахунку та банківського вкладу.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види та порядок здійснення банківських операції з векселями.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особливості організації та здійснення банком  безготівкових розрахунків. Форми безготівкових розрахунків, характеристика їх застосування. Особливості оформлення безготівкових розрахункових документів.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організацією міжбанківських розрахунків. Вивчити порядок встановлення кореспондентських відносин з іншими банками. Розглянути особливості функціонування системи електронних платежів НБУ, організації прямих кореспондентських відносин між банками,  системи масових електронних платежів.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діяльністю банку щодо випуску платіжних карток та обслуговування операцій з їх використанням. Особливості надання банками послуг щодо термінових переказів через плтіжні сстеми без відкриття рахунка </w:t>
      </w:r>
      <w:r>
        <w:rPr>
          <w:rFonts w:ascii="Times New Roman" w:hAnsi="Times New Roman" w:cs="Times New Roman"/>
          <w:sz w:val="24"/>
          <w:szCs w:val="24"/>
        </w:rPr>
        <w:t>Western</w:t>
      </w:r>
      <w:r>
        <w:rPr>
          <w:rFonts w:ascii="Times New Roman" w:hAnsi="Times New Roman" w:cs="Times New Roman"/>
          <w:sz w:val="24"/>
          <w:szCs w:val="24"/>
          <w:lang w:val="uk-UA"/>
        </w:rPr>
        <w:t xml:space="preserve"> </w:t>
      </w:r>
      <w:r>
        <w:rPr>
          <w:rFonts w:ascii="Times New Roman" w:hAnsi="Times New Roman" w:cs="Times New Roman"/>
          <w:sz w:val="24"/>
          <w:szCs w:val="24"/>
        </w:rPr>
        <w:t>Union</w:t>
      </w:r>
      <w:r>
        <w:rPr>
          <w:rFonts w:ascii="Times New Roman" w:hAnsi="Times New Roman" w:cs="Times New Roman"/>
          <w:sz w:val="24"/>
          <w:szCs w:val="24"/>
          <w:lang w:val="uk-UA"/>
        </w:rPr>
        <w:t xml:space="preserve">, </w:t>
      </w:r>
      <w:r>
        <w:rPr>
          <w:rFonts w:ascii="Times New Roman" w:hAnsi="Times New Roman" w:cs="Times New Roman"/>
          <w:iCs/>
          <w:sz w:val="24"/>
          <w:szCs w:val="24"/>
          <w:lang w:val="uk-UA"/>
        </w:rPr>
        <w:t>Мо</w:t>
      </w:r>
      <w:r>
        <w:rPr>
          <w:rFonts w:ascii="Times New Roman" w:hAnsi="Times New Roman" w:cs="Times New Roman"/>
          <w:iCs/>
          <w:sz w:val="24"/>
          <w:szCs w:val="24"/>
        </w:rPr>
        <w:t>n</w:t>
      </w:r>
      <w:r>
        <w:rPr>
          <w:rFonts w:ascii="Times New Roman" w:hAnsi="Times New Roman" w:cs="Times New Roman"/>
          <w:iCs/>
          <w:sz w:val="24"/>
          <w:szCs w:val="24"/>
          <w:lang w:val="uk-UA"/>
        </w:rPr>
        <w:t xml:space="preserve">еу </w:t>
      </w:r>
      <w:r>
        <w:rPr>
          <w:rFonts w:ascii="Times New Roman" w:hAnsi="Times New Roman" w:cs="Times New Roman"/>
          <w:iCs/>
          <w:sz w:val="24"/>
          <w:szCs w:val="24"/>
        </w:rPr>
        <w:t>Gr</w:t>
      </w:r>
      <w:r>
        <w:rPr>
          <w:rFonts w:ascii="Times New Roman" w:hAnsi="Times New Roman" w:cs="Times New Roman"/>
          <w:iCs/>
          <w:sz w:val="24"/>
          <w:szCs w:val="24"/>
          <w:lang w:val="uk-UA"/>
        </w:rPr>
        <w:t>а</w:t>
      </w:r>
      <w:r>
        <w:rPr>
          <w:rFonts w:ascii="Times New Roman" w:hAnsi="Times New Roman" w:cs="Times New Roman"/>
          <w:iCs/>
          <w:sz w:val="24"/>
          <w:szCs w:val="24"/>
        </w:rPr>
        <w:t>m</w:t>
      </w:r>
      <w:r>
        <w:rPr>
          <w:rFonts w:ascii="Times New Roman" w:hAnsi="Times New Roman" w:cs="Times New Roman"/>
          <w:sz w:val="24"/>
          <w:szCs w:val="24"/>
          <w:lang w:val="uk-UA"/>
        </w:rPr>
        <w:t xml:space="preserve">, </w:t>
      </w:r>
      <w:r>
        <w:rPr>
          <w:rFonts w:ascii="Times New Roman" w:hAnsi="Times New Roman" w:cs="Times New Roman"/>
          <w:sz w:val="24"/>
          <w:szCs w:val="24"/>
        </w:rPr>
        <w:t>Money</w:t>
      </w:r>
      <w:r>
        <w:rPr>
          <w:rFonts w:ascii="Times New Roman" w:hAnsi="Times New Roman" w:cs="Times New Roman"/>
          <w:sz w:val="24"/>
          <w:szCs w:val="24"/>
          <w:lang w:val="uk-UA"/>
        </w:rPr>
        <w:t xml:space="preserve"> </w:t>
      </w:r>
      <w:r>
        <w:rPr>
          <w:rFonts w:ascii="Times New Roman" w:hAnsi="Times New Roman" w:cs="Times New Roman"/>
          <w:sz w:val="24"/>
          <w:szCs w:val="24"/>
        </w:rPr>
        <w:t>Express</w:t>
      </w:r>
      <w:r>
        <w:rPr>
          <w:rFonts w:ascii="Times New Roman" w:hAnsi="Times New Roman" w:cs="Times New Roman"/>
          <w:sz w:val="24"/>
          <w:szCs w:val="24"/>
          <w:lang w:val="uk-UA"/>
        </w:rPr>
        <w:t>,  Р</w:t>
      </w:r>
      <w:r>
        <w:rPr>
          <w:rFonts w:ascii="Times New Roman" w:hAnsi="Times New Roman" w:cs="Times New Roman"/>
          <w:sz w:val="24"/>
          <w:szCs w:val="24"/>
        </w:rPr>
        <w:t>rivat</w:t>
      </w:r>
      <w:r>
        <w:rPr>
          <w:rFonts w:ascii="Times New Roman" w:hAnsi="Times New Roman" w:cs="Times New Roman"/>
          <w:sz w:val="24"/>
          <w:szCs w:val="24"/>
          <w:lang w:val="uk-UA"/>
        </w:rPr>
        <w:t>Мо</w:t>
      </w:r>
      <w:r>
        <w:rPr>
          <w:rFonts w:ascii="Times New Roman" w:hAnsi="Times New Roman" w:cs="Times New Roman"/>
          <w:sz w:val="24"/>
          <w:szCs w:val="24"/>
        </w:rPr>
        <w:t>n</w:t>
      </w:r>
      <w:r>
        <w:rPr>
          <w:rFonts w:ascii="Times New Roman" w:hAnsi="Times New Roman" w:cs="Times New Roman"/>
          <w:sz w:val="24"/>
          <w:szCs w:val="24"/>
          <w:lang w:val="uk-UA"/>
        </w:rPr>
        <w:t>еу та ін. Системи дистанційного обслуговування банком клієнтів (клієнт-банк, клієнт-Інтернет-банк тощо), особливості їх роботи.</w:t>
      </w:r>
    </w:p>
    <w:p>
      <w:pPr>
        <w:numPr>
          <w:ilvl w:val="0"/>
          <w:numId w:val="7"/>
        </w:numPr>
        <w:tabs>
          <w:tab w:val="left" w:pos="851"/>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Касові операції банків, їх характеристика.</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Розглянути </w:t>
      </w:r>
      <w:r>
        <w:rPr>
          <w:rFonts w:ascii="Times New Roman" w:hAnsi="Times New Roman" w:cs="Times New Roman"/>
          <w:sz w:val="24"/>
          <w:szCs w:val="24"/>
          <w:lang w:val="uk-UA"/>
        </w:rPr>
        <w:t>порядок організації касової роботи в банку.</w:t>
      </w:r>
    </w:p>
    <w:p>
      <w:pPr>
        <w:pStyle w:val="20"/>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Ознайомитися </w:t>
      </w:r>
      <w:r>
        <w:rPr>
          <w:rFonts w:ascii="Times New Roman" w:hAnsi="Times New Roman" w:cs="Times New Roman"/>
          <w:sz w:val="24"/>
          <w:szCs w:val="24"/>
          <w:lang w:val="uk-UA"/>
        </w:rPr>
        <w:t xml:space="preserve">з порядком надходження готівкових грошей до кас банків, порядком видачі з кас банків та витрачання готівки суб’єктами господарювання. Порядок роботи вечірніх кас. Розглянути порядок оформлення супроводжуючих касових документів.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контролю за дотриманням касової  дисципліни.</w:t>
      </w:r>
    </w:p>
    <w:p>
      <w:pPr>
        <w:widowControl w:val="0"/>
        <w:tabs>
          <w:tab w:val="left" w:pos="1418"/>
        </w:tabs>
        <w:adjustRightInd w:val="0"/>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numPr>
          <w:ilvl w:val="3"/>
          <w:numId w:val="8"/>
        </w:numPr>
        <w:tabs>
          <w:tab w:val="left" w:pos="709"/>
          <w:tab w:val="left" w:pos="851"/>
          <w:tab w:val="left" w:pos="1134"/>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Кредитні операції банків.</w:t>
      </w:r>
    </w:p>
    <w:p>
      <w:pPr>
        <w:tabs>
          <w:tab w:val="left" w:pos="709"/>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організації кредитної діяльності банку. Функціональні обов’язки працівників кредитного відділу.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види кредитів, які надає досліджуваний банк, різним категоріям клієнтів: фізичним особам, малому бізнесу, корпоративним клієнтам. Умови кредитування.</w:t>
      </w:r>
    </w:p>
    <w:p>
      <w:pPr>
        <w:tabs>
          <w:tab w:val="left" w:pos="709"/>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внутрішнім положенням банку про кредитування. </w:t>
      </w:r>
      <w:r>
        <w:rPr>
          <w:rFonts w:ascii="Times New Roman" w:hAnsi="Times New Roman" w:cs="Times New Roman"/>
          <w:b/>
          <w:i/>
          <w:sz w:val="24"/>
          <w:szCs w:val="24"/>
          <w:lang w:val="uk-UA"/>
        </w:rPr>
        <w:t xml:space="preserve">Розглянути </w:t>
      </w:r>
      <w:r>
        <w:rPr>
          <w:rFonts w:ascii="Times New Roman" w:hAnsi="Times New Roman" w:cs="Times New Roman"/>
          <w:sz w:val="24"/>
          <w:szCs w:val="24"/>
          <w:lang w:val="uk-UA"/>
        </w:rPr>
        <w:t xml:space="preserve">особливості процесу банківського кредитування.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пакет документів, що необхідні для одержання кредиту (за різними видами).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методики банку з визначення фінансового стану позичальників (юридичних, фізичних осіб – підприємців, фізичних осіб).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укладання кредитного договору, його структуру. Порядок надання і способи погашення позик.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особливості здійснення банком моніторингу за витрачанням позикових коштів. Супроводжуюча документація по кредитуванню.</w:t>
      </w:r>
    </w:p>
    <w:p>
      <w:pPr>
        <w:tabs>
          <w:tab w:val="left" w:pos="709"/>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технологією окремих видів кредитування: споживчого, іпотечного, лізингового, іпотечного, факторингового.</w:t>
      </w:r>
    </w:p>
    <w:p>
      <w:pPr>
        <w:tabs>
          <w:tab w:val="left" w:pos="709"/>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систему управління кредитними ризиками банку.</w:t>
      </w:r>
    </w:p>
    <w:p>
      <w:pPr>
        <w:tabs>
          <w:tab w:val="left" w:pos="709"/>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Провести аналіз</w:t>
      </w:r>
      <w:r>
        <w:rPr>
          <w:rFonts w:ascii="Times New Roman" w:hAnsi="Times New Roman" w:cs="Times New Roman"/>
          <w:sz w:val="24"/>
          <w:szCs w:val="24"/>
          <w:lang w:val="uk-UA"/>
        </w:rPr>
        <w:t xml:space="preserve"> динаміки наданих банком кредитів за 3 роки. </w:t>
      </w: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кредитний портфель банку в розрізі валют, клієнтів, видів діяльності клієнтів та якості наданих позик. </w:t>
      </w:r>
    </w:p>
    <w:p>
      <w:pPr>
        <w:numPr>
          <w:ilvl w:val="3"/>
          <w:numId w:val="8"/>
        </w:numPr>
        <w:tabs>
          <w:tab w:val="left" w:pos="709"/>
          <w:tab w:val="left" w:pos="851"/>
          <w:tab w:val="left" w:pos="1276"/>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Інвестиційні операції банків.</w:t>
      </w:r>
    </w:p>
    <w:p>
      <w:pPr>
        <w:tabs>
          <w:tab w:val="left" w:pos="709"/>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види операцій банку з цінними паперами.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особливості довгострокового кредитування інвестиційних проектів.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та проаналізувати за 2 роки структуру портфеля цінних паперів банку.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емісії власних цінних паперів. Діяльність з торгівлі на ринку цінних паперів. Депозитарна  діяльність банку.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прямими інвестиціями банку в реальні активи (у свою діяльність, участь банків у власності інших суб’єктів господарювання, спільне фінансування банком і підприємством інвестиційних проектів).</w:t>
      </w:r>
    </w:p>
    <w:p>
      <w:pPr>
        <w:numPr>
          <w:ilvl w:val="3"/>
          <w:numId w:val="8"/>
        </w:numPr>
        <w:tabs>
          <w:tab w:val="left" w:pos="851"/>
          <w:tab w:val="left" w:pos="1134"/>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Валютні операції банку.</w:t>
      </w:r>
    </w:p>
    <w:p>
      <w:pPr>
        <w:tabs>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відкриття і ведення валютних рахунків клієнтів.</w:t>
      </w:r>
    </w:p>
    <w:p>
      <w:pPr>
        <w:tabs>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порядком здійснення міжнародних розрахунків за експортно-імпортними операціями. Форми міжнародних розрахунків, їх характеристика.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організацією валютного кредитування.</w:t>
      </w:r>
    </w:p>
    <w:p>
      <w:pPr>
        <w:tabs>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 xml:space="preserve">особливості здійснення банком валютно-обмінних операцій. </w:t>
      </w:r>
    </w:p>
    <w:p>
      <w:pPr>
        <w:tabs>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операції з торгівлі іноземною валютою на внутрішньому міжбанківському ринку, ринку Форекс.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операції банків банківськими металами.</w:t>
      </w:r>
    </w:p>
    <w:p>
      <w:pPr>
        <w:numPr>
          <w:ilvl w:val="3"/>
          <w:numId w:val="8"/>
        </w:numPr>
        <w:tabs>
          <w:tab w:val="left" w:pos="851"/>
          <w:tab w:val="left" w:pos="1134"/>
          <w:tab w:val="left" w:pos="1418"/>
          <w:tab w:val="clear" w:pos="3240"/>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Забезпечення фінансової стійкості банку.</w:t>
      </w:r>
    </w:p>
    <w:p>
      <w:pPr>
        <w:pStyle w:val="20"/>
        <w:tabs>
          <w:tab w:val="left" w:pos="851"/>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порядок розрахунку економічних нормативів регулювання діяльності банків, встановлених Національним банком України. Оцінити дотримання їх банком</w:t>
      </w:r>
      <w:r>
        <w:rPr>
          <w:rFonts w:ascii="Times New Roman" w:hAnsi="Times New Roman" w:cs="Times New Roman"/>
          <w:sz w:val="24"/>
          <w:szCs w:val="24"/>
        </w:rPr>
        <w:t>.</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обов’язкового резервування коштів банками. Розрахунок обов’язкових резервів.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Ознайомитися</w:t>
      </w:r>
      <w:r>
        <w:rPr>
          <w:rFonts w:ascii="Times New Roman" w:hAnsi="Times New Roman" w:cs="Times New Roman"/>
          <w:sz w:val="24"/>
          <w:szCs w:val="24"/>
          <w:lang w:val="uk-UA"/>
        </w:rPr>
        <w:t xml:space="preserve"> з формуванням резервів для покриття втрат банку від активних операцій (кредитних, з цінними паперами).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видами фінансової звітності банку.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фінансовий стан банку за 2 роки.</w:t>
      </w:r>
    </w:p>
    <w:p>
      <w:pPr>
        <w:tabs>
          <w:tab w:val="left" w:pos="1418"/>
        </w:tabs>
        <w:spacing w:after="0" w:line="240" w:lineRule="auto"/>
        <w:ind w:firstLine="567"/>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9. Практика у страхових компаніях</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1</w:t>
      </w:r>
    </w:p>
    <w:p>
      <w:pPr>
        <w:pStyle w:val="20"/>
        <w:tabs>
          <w:tab w:val="left" w:pos="1418"/>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 Загальна характеристика</w:t>
      </w:r>
      <w:r>
        <w:rPr>
          <w:rFonts w:ascii="Times New Roman" w:hAnsi="Times New Roman" w:cs="Times New Roman"/>
          <w:b/>
          <w:bCs/>
          <w:sz w:val="24"/>
          <w:szCs w:val="24"/>
          <w:lang w:val="uk-UA"/>
        </w:rPr>
        <w:t xml:space="preserve"> діяльності</w:t>
      </w:r>
      <w:r>
        <w:rPr>
          <w:rFonts w:ascii="Times New Roman" w:hAnsi="Times New Roman" w:cs="Times New Roman"/>
          <w:b/>
          <w:bCs/>
          <w:sz w:val="24"/>
          <w:szCs w:val="24"/>
        </w:rPr>
        <w:t xml:space="preserve"> страхової компанії</w:t>
      </w:r>
      <w:r>
        <w:rPr>
          <w:rFonts w:ascii="Times New Roman" w:hAnsi="Times New Roman" w:cs="Times New Roman"/>
          <w:b/>
          <w:bCs/>
          <w:sz w:val="24"/>
          <w:szCs w:val="24"/>
          <w:lang w:val="uk-UA"/>
        </w:rPr>
        <w:t xml:space="preserve"> (СК)</w:t>
      </w:r>
      <w:r>
        <w:rPr>
          <w:rFonts w:ascii="Times New Roman" w:hAnsi="Times New Roman" w:cs="Times New Roman"/>
          <w:b/>
          <w:bCs/>
          <w:sz w:val="24"/>
          <w:szCs w:val="24"/>
        </w:rPr>
        <w:t>.</w:t>
      </w:r>
    </w:p>
    <w:p>
      <w:pPr>
        <w:tabs>
          <w:tab w:val="left" w:pos="1134"/>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структурою страхової компанії (центральний апарат, філії, відділення). Органи управління, їх повноваження. Функціональні підрозділи страховика (управління, відділи відобразити схемами, показати їх підпорядкованість, описати основні функції).</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Описати</w:t>
      </w:r>
      <w:r>
        <w:rPr>
          <w:rFonts w:ascii="Times New Roman" w:hAnsi="Times New Roman" w:cs="Times New Roman"/>
          <w:sz w:val="24"/>
          <w:szCs w:val="24"/>
          <w:lang w:val="uk-UA"/>
        </w:rPr>
        <w:t xml:space="preserve"> порядок створення та реєстрації страховика.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Охарактеризувати</w:t>
      </w:r>
      <w:r>
        <w:rPr>
          <w:rFonts w:ascii="Times New Roman" w:hAnsi="Times New Roman" w:cs="Times New Roman"/>
          <w:sz w:val="24"/>
          <w:szCs w:val="24"/>
          <w:lang w:val="uk-UA"/>
        </w:rPr>
        <w:t xml:space="preserve"> структуру клієнтів страхової компанії, їх галузеву приналежність.</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Ознайомитися</w:t>
      </w:r>
      <w:r>
        <w:rPr>
          <w:rFonts w:ascii="Times New Roman" w:hAnsi="Times New Roman" w:cs="Times New Roman"/>
          <w:sz w:val="24"/>
          <w:szCs w:val="24"/>
          <w:lang w:val="uk-UA"/>
        </w:rPr>
        <w:t xml:space="preserve"> з нормативними актами, якими керуються страхові компанії.</w:t>
      </w:r>
    </w:p>
    <w:p>
      <w:pPr>
        <w:tabs>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 Характеристика страхової діяльності СК за галузями, видами та формами страхування:</w:t>
      </w:r>
    </w:p>
    <w:p>
      <w:pPr>
        <w:numPr>
          <w:ilvl w:val="0"/>
          <w:numId w:val="9"/>
        </w:numPr>
        <w:tabs>
          <w:tab w:val="left" w:pos="709"/>
          <w:tab w:val="left" w:pos="1134"/>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i/>
          <w:sz w:val="24"/>
          <w:szCs w:val="24"/>
          <w:lang w:val="uk-UA"/>
        </w:rPr>
        <w:t xml:space="preserve">охарактеризувати </w:t>
      </w:r>
      <w:r>
        <w:rPr>
          <w:rFonts w:ascii="Times New Roman" w:hAnsi="Times New Roman" w:cs="Times New Roman"/>
          <w:sz w:val="24"/>
          <w:szCs w:val="24"/>
          <w:lang w:val="uk-UA"/>
        </w:rPr>
        <w:t>страхові послуги, що надаються страховою компанією, за формами проведення (обов’язкове, добровільне) та галузями страхування (майнове; особисте; страхування відповідальності).</w:t>
      </w:r>
    </w:p>
    <w:p>
      <w:pPr>
        <w:tabs>
          <w:tab w:val="left" w:pos="1134"/>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3. Формування ресурсів страхової компанії.</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структуру й порядок формування власного капіталу страхової компанії в динаміці за 3 роки.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склад і структуру залучених коштів (страхових премій) страховиків.</w:t>
      </w:r>
    </w:p>
    <w:p>
      <w:pPr>
        <w:tabs>
          <w:tab w:val="left" w:pos="1134"/>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актуарними розрахунками в страховій справі.</w:t>
      </w:r>
    </w:p>
    <w:p>
      <w:pPr>
        <w:tabs>
          <w:tab w:val="left" w:pos="1134"/>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порядок формування і розміщення страхових резервів страховика.</w:t>
      </w:r>
    </w:p>
    <w:p>
      <w:pPr>
        <w:tabs>
          <w:tab w:val="left" w:pos="1134"/>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Провести аналіз</w:t>
      </w:r>
      <w:r>
        <w:rPr>
          <w:rFonts w:ascii="Times New Roman" w:hAnsi="Times New Roman" w:cs="Times New Roman"/>
          <w:sz w:val="24"/>
          <w:szCs w:val="24"/>
          <w:lang w:val="uk-UA"/>
        </w:rPr>
        <w:t xml:space="preserve"> грошових надходжень від фінансової та інвестиційної діяльності страховика.</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2</w:t>
      </w:r>
    </w:p>
    <w:p>
      <w:pPr>
        <w:tabs>
          <w:tab w:val="left" w:pos="1134"/>
          <w:tab w:val="left" w:pos="1418"/>
        </w:tabs>
        <w:autoSpaceDE w:val="0"/>
        <w:autoSpaceDN w:val="0"/>
        <w:spacing w:after="0" w:line="240" w:lineRule="auto"/>
        <w:ind w:left="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 Система оплати праці працівників  страхової компанії.</w:t>
      </w:r>
    </w:p>
    <w:p>
      <w:pPr>
        <w:numPr>
          <w:ilvl w:val="0"/>
          <w:numId w:val="9"/>
        </w:numPr>
        <w:tabs>
          <w:tab w:val="left" w:pos="709"/>
          <w:tab w:val="left" w:pos="1134"/>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оплати праці штатних працівників;</w:t>
      </w:r>
    </w:p>
    <w:p>
      <w:pPr>
        <w:numPr>
          <w:ilvl w:val="0"/>
          <w:numId w:val="9"/>
        </w:numPr>
        <w:tabs>
          <w:tab w:val="left" w:pos="709"/>
          <w:tab w:val="left" w:pos="1134"/>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умови оплати праці, комісійної винагороди страховим агентам та іншим посередникам чи спеціалістам СК.</w:t>
      </w:r>
    </w:p>
    <w:p>
      <w:pPr>
        <w:pStyle w:val="21"/>
        <w:tabs>
          <w:tab w:val="left" w:pos="1418"/>
        </w:tabs>
        <w:spacing w:after="0"/>
        <w:ind w:left="0" w:firstLine="567"/>
        <w:jc w:val="both"/>
        <w:rPr>
          <w:b/>
          <w:bCs/>
          <w:sz w:val="24"/>
          <w:szCs w:val="24"/>
          <w:lang w:val="uk-UA"/>
        </w:rPr>
      </w:pPr>
      <w:r>
        <w:rPr>
          <w:b/>
          <w:bCs/>
          <w:sz w:val="24"/>
          <w:szCs w:val="24"/>
          <w:lang w:val="uk-UA"/>
        </w:rPr>
        <w:t>2. Порядок і правила проведення основних видів страхування СК: розробка, прийняття, затвердження.</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процесом ліцензування страхових послуг, з технічними описами страхових програм (продуктів), з порядком оформлення пакету документів у разі настання страхового випадку та виплати страхового відшкодування (страхової суми, виплати).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розробки та затвердження правил страхування на прикладі певного виду страхування, укладання та ведення страхового договору, його структуру. </w:t>
      </w:r>
    </w:p>
    <w:p>
      <w:pPr>
        <w:numPr>
          <w:ilvl w:val="3"/>
          <w:numId w:val="8"/>
        </w:numPr>
        <w:tabs>
          <w:tab w:val="left" w:pos="851"/>
          <w:tab w:val="left" w:pos="1134"/>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Аналіз фінансово-майнового стану страхової компанії.</w:t>
      </w:r>
    </w:p>
    <w:p>
      <w:pPr>
        <w:tabs>
          <w:tab w:val="left" w:pos="1134"/>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Дати</w:t>
      </w:r>
      <w:r>
        <w:rPr>
          <w:rFonts w:ascii="Times New Roman" w:hAnsi="Times New Roman" w:cs="Times New Roman"/>
          <w:sz w:val="24"/>
          <w:szCs w:val="24"/>
          <w:lang w:val="uk-UA"/>
        </w:rPr>
        <w:t xml:space="preserve"> оцінку фінансових результатів діяльності страховика.</w:t>
      </w:r>
    </w:p>
    <w:p>
      <w:pPr>
        <w:shd w:val="clear" w:color="auto" w:fill="FFFFFF"/>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Охарактеризувати</w:t>
      </w:r>
      <w:r>
        <w:rPr>
          <w:rFonts w:ascii="Times New Roman" w:hAnsi="Times New Roman" w:cs="Times New Roman"/>
          <w:sz w:val="24"/>
          <w:szCs w:val="24"/>
          <w:lang w:val="uk-UA"/>
        </w:rPr>
        <w:t xml:space="preserve"> форми фінансової звітності, в яких містить</w:t>
      </w:r>
      <w:r>
        <w:rPr>
          <w:rFonts w:ascii="Times New Roman" w:hAnsi="Times New Roman" w:cs="Times New Roman"/>
          <w:sz w:val="24"/>
          <w:szCs w:val="24"/>
          <w:lang w:val="uk-UA"/>
        </w:rPr>
        <w:softHyphen/>
      </w:r>
      <w:r>
        <w:rPr>
          <w:rFonts w:ascii="Times New Roman" w:hAnsi="Times New Roman" w:cs="Times New Roman"/>
          <w:sz w:val="24"/>
          <w:szCs w:val="24"/>
          <w:lang w:val="uk-UA"/>
        </w:rPr>
        <w:t>ся інформація щодо показників платоспроможності страхо</w:t>
      </w:r>
      <w:r>
        <w:rPr>
          <w:rFonts w:ascii="Times New Roman" w:hAnsi="Times New Roman" w:cs="Times New Roman"/>
          <w:sz w:val="24"/>
          <w:szCs w:val="24"/>
          <w:lang w:val="uk-UA"/>
        </w:rPr>
        <w:softHyphen/>
      </w:r>
      <w:r>
        <w:rPr>
          <w:rFonts w:ascii="Times New Roman" w:hAnsi="Times New Roman" w:cs="Times New Roman"/>
          <w:sz w:val="24"/>
          <w:szCs w:val="24"/>
          <w:lang w:val="uk-UA"/>
        </w:rPr>
        <w:t xml:space="preserve">вих організацій. </w:t>
      </w:r>
    </w:p>
    <w:p>
      <w:pPr>
        <w:shd w:val="clear" w:color="auto" w:fill="FFFFFF"/>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Розкрити</w:t>
      </w:r>
      <w:r>
        <w:rPr>
          <w:rFonts w:ascii="Times New Roman" w:hAnsi="Times New Roman" w:cs="Times New Roman"/>
          <w:sz w:val="24"/>
          <w:szCs w:val="24"/>
          <w:lang w:val="uk-UA"/>
        </w:rPr>
        <w:t xml:space="preserve"> сутність «тестів раннього по</w:t>
      </w:r>
      <w:r>
        <w:rPr>
          <w:rFonts w:ascii="Times New Roman" w:hAnsi="Times New Roman" w:cs="Times New Roman"/>
          <w:sz w:val="24"/>
          <w:szCs w:val="24"/>
          <w:lang w:val="uk-UA"/>
        </w:rPr>
        <w:softHyphen/>
      </w:r>
      <w:r>
        <w:rPr>
          <w:rFonts w:ascii="Times New Roman" w:hAnsi="Times New Roman" w:cs="Times New Roman"/>
          <w:sz w:val="24"/>
          <w:szCs w:val="24"/>
          <w:lang w:val="uk-UA"/>
        </w:rPr>
        <w:t>передження». Проведіть розрахунки фінансових коефіцієнтів, які використовують</w:t>
      </w:r>
      <w:r>
        <w:rPr>
          <w:rFonts w:ascii="Times New Roman" w:hAnsi="Times New Roman" w:cs="Times New Roman"/>
          <w:sz w:val="24"/>
          <w:szCs w:val="24"/>
          <w:lang w:val="uk-UA"/>
        </w:rPr>
        <w:softHyphen/>
      </w:r>
      <w:r>
        <w:rPr>
          <w:rFonts w:ascii="Times New Roman" w:hAnsi="Times New Roman" w:cs="Times New Roman"/>
          <w:sz w:val="24"/>
          <w:szCs w:val="24"/>
          <w:lang w:val="uk-UA"/>
        </w:rPr>
        <w:t>ся як тести раннього попередження.</w:t>
      </w:r>
    </w:p>
    <w:p>
      <w:pPr>
        <w:tabs>
          <w:tab w:val="left" w:pos="1134"/>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порядком оподаткування доходів (прибутку) страхової компанії.</w:t>
      </w:r>
    </w:p>
    <w:p>
      <w:pPr>
        <w:tabs>
          <w:tab w:val="left" w:pos="1418"/>
        </w:tabs>
        <w:spacing w:after="0"/>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10. Практика в інститутах спільного інвестування (ІСІ)</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1</w:t>
      </w:r>
    </w:p>
    <w:p>
      <w:pPr>
        <w:tabs>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 Загальна характеристика (ІСІ).</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організаційну структуру ІСІ. Органи управління, їх повноваження. Функціональні підрозділи (управління, відділи відобразити схемами, показати їх підпорядкованість, описати основні функції).</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Описати </w:t>
      </w:r>
      <w:r>
        <w:rPr>
          <w:rFonts w:ascii="Times New Roman" w:hAnsi="Times New Roman" w:cs="Times New Roman"/>
          <w:sz w:val="24"/>
          <w:szCs w:val="24"/>
          <w:lang w:val="uk-UA"/>
        </w:rPr>
        <w:t xml:space="preserve">порядок створення та реєстрації ІСІ.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Охарактеризувати </w:t>
      </w:r>
      <w:r>
        <w:rPr>
          <w:rFonts w:ascii="Times New Roman" w:hAnsi="Times New Roman" w:cs="Times New Roman"/>
          <w:sz w:val="24"/>
          <w:szCs w:val="24"/>
          <w:lang w:val="uk-UA"/>
        </w:rPr>
        <w:t>структуру клієнтів ІСІ, їх галузеву приналежність.</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Ознайомитись </w:t>
      </w:r>
      <w:r>
        <w:rPr>
          <w:rFonts w:ascii="Times New Roman" w:hAnsi="Times New Roman" w:cs="Times New Roman"/>
          <w:sz w:val="24"/>
          <w:szCs w:val="24"/>
          <w:lang w:val="uk-UA"/>
        </w:rPr>
        <w:t>з законодавством у сфері спільного інвестування.</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z w:val="24"/>
          <w:szCs w:val="24"/>
          <w:lang w:val="uk-UA"/>
        </w:rPr>
        <w:t>2. </w:t>
      </w:r>
      <w:r>
        <w:rPr>
          <w:rFonts w:ascii="Times New Roman" w:hAnsi="Times New Roman" w:cs="Times New Roman"/>
          <w:b/>
          <w:bCs/>
          <w:sz w:val="24"/>
          <w:szCs w:val="24"/>
          <w:lang w:val="uk-UA"/>
        </w:rPr>
        <w:t>Охарактеризувати діяльність Корпоративного фонду відповідно бази практики (</w:t>
      </w:r>
      <w:r>
        <w:rPr>
          <w:rFonts w:ascii="Times New Roman" w:hAnsi="Times New Roman" w:cs="Times New Roman"/>
          <w:bCs/>
          <w:sz w:val="24"/>
          <w:szCs w:val="24"/>
          <w:lang w:val="uk-UA"/>
        </w:rPr>
        <w:t>корпоративний інвестиційний фонд, пайовий інвестиційний фонд, диверсифікований інвестиційний фонд, спеціалізований інвестиційний фонд, кваліфікаційний інвестиційний фонд, недиверсифікований інвестиційний фонд, біржовий інвестиційний фонд, венчурний інвестиційний фонд)</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Охарактеризувати</w:t>
      </w:r>
      <w:r>
        <w:rPr>
          <w:rFonts w:ascii="Times New Roman" w:hAnsi="Times New Roman" w:cs="Times New Roman"/>
          <w:bCs/>
          <w:sz w:val="24"/>
          <w:szCs w:val="24"/>
          <w:lang w:val="uk-UA"/>
        </w:rPr>
        <w:t xml:space="preserve"> правовий статус корпоративного фонду.</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Ознайомитись</w:t>
      </w:r>
      <w:r>
        <w:rPr>
          <w:rFonts w:ascii="Times New Roman" w:hAnsi="Times New Roman" w:cs="Times New Roman"/>
          <w:bCs/>
          <w:sz w:val="24"/>
          <w:szCs w:val="24"/>
          <w:lang w:val="uk-UA"/>
        </w:rPr>
        <w:t xml:space="preserve"> з порядком заснування корпоративного фонду.</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Охарактеризувати</w:t>
      </w:r>
      <w:r>
        <w:rPr>
          <w:rFonts w:ascii="Times New Roman" w:hAnsi="Times New Roman" w:cs="Times New Roman"/>
          <w:bCs/>
          <w:sz w:val="24"/>
          <w:szCs w:val="24"/>
          <w:lang w:val="uk-UA"/>
        </w:rPr>
        <w:t xml:space="preserve"> основні етапи провадження діяльності корпоративного фонду.</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3. Пайовий фонд та його характеристика. </w:t>
      </w:r>
      <w:r>
        <w:rPr>
          <w:rFonts w:ascii="Times New Roman" w:hAnsi="Times New Roman" w:cs="Times New Roman"/>
          <w:bCs/>
          <w:sz w:val="24"/>
          <w:szCs w:val="24"/>
          <w:lang w:val="uk-UA"/>
        </w:rPr>
        <w:t>Правовий статус пайового фонду. Створення пайового фонду. Функціонування пайового фонду. Регламент пайового фонду. Участь у пайовому фонді. Припинення пайового фонду. Розподіл активів пайового фонду в разі його ліквідації.</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2</w:t>
      </w:r>
    </w:p>
    <w:p>
      <w:pPr>
        <w:tabs>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 Активи інституту спільного інвестування.</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Проаналізувати</w:t>
      </w:r>
      <w:r>
        <w:rPr>
          <w:rFonts w:ascii="Times New Roman" w:hAnsi="Times New Roman" w:cs="Times New Roman"/>
          <w:bCs/>
          <w:sz w:val="24"/>
          <w:szCs w:val="24"/>
          <w:lang w:val="uk-UA"/>
        </w:rPr>
        <w:t xml:space="preserve"> склад і структуру активів ІСІ. </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Ознайомитись</w:t>
      </w:r>
      <w:r>
        <w:rPr>
          <w:rFonts w:ascii="Times New Roman" w:hAnsi="Times New Roman" w:cs="Times New Roman"/>
          <w:bCs/>
          <w:sz w:val="24"/>
          <w:szCs w:val="24"/>
          <w:lang w:val="uk-UA"/>
        </w:rPr>
        <w:t xml:space="preserve"> порядком визначення вартості чистих активів ІСІ. Навести розрахунки.</w:t>
      </w:r>
    </w:p>
    <w:p>
      <w:pPr>
        <w:numPr>
          <w:ilvl w:val="0"/>
          <w:numId w:val="10"/>
        </w:numPr>
        <w:tabs>
          <w:tab w:val="left" w:pos="851"/>
          <w:tab w:val="left" w:pos="993"/>
          <w:tab w:val="left" w:pos="1418"/>
          <w:tab w:val="clear" w:pos="720"/>
        </w:tabs>
        <w:autoSpaceDE w:val="0"/>
        <w:autoSpaceDN w:val="0"/>
        <w:spacing w:after="0" w:line="240" w:lineRule="auto"/>
        <w:ind w:left="0" w:firstLine="567"/>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Цінні папери інституту спільного інвестування. </w:t>
      </w:r>
      <w:r>
        <w:rPr>
          <w:rFonts w:ascii="Times New Roman" w:hAnsi="Times New Roman" w:cs="Times New Roman"/>
          <w:bCs/>
          <w:sz w:val="24"/>
          <w:szCs w:val="24"/>
          <w:lang w:val="uk-UA"/>
        </w:rPr>
        <w:t>Розміщення, обіг та викуп цінних паперів ІСІ. Охарактеризувати види цінних паперів ІСІ. Проспект емісії цінних паперів ІСІ. Реєстрація проспекту емісії цінних паперів ІСІ. Реєстрація випуску акцій корпоративного фонду, що здійснюється з метою спільного інвестування, та проспекту їх емісії. Порядок розміщення та викупу цінних паперів ІСІ. Визначення вартості цінного папера. Конвертація цінних паперів.</w:t>
      </w:r>
    </w:p>
    <w:p>
      <w:pPr>
        <w:numPr>
          <w:ilvl w:val="0"/>
          <w:numId w:val="10"/>
        </w:numPr>
        <w:tabs>
          <w:tab w:val="left" w:pos="851"/>
          <w:tab w:val="left" w:pos="993"/>
          <w:tab w:val="left" w:pos="1418"/>
          <w:tab w:val="clear" w:pos="720"/>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Суб’єкти, які обслуговують діяльність інституту спільного інвестування.</w:t>
      </w:r>
    </w:p>
    <w:p>
      <w:pPr>
        <w:tabs>
          <w:tab w:val="left" w:pos="1418"/>
        </w:tabs>
        <w:spacing w:after="0" w:line="240" w:lineRule="auto"/>
        <w:ind w:firstLine="567"/>
        <w:jc w:val="both"/>
        <w:rPr>
          <w:rFonts w:ascii="Times New Roman" w:hAnsi="Times New Roman" w:cs="Times New Roman"/>
          <w:sz w:val="24"/>
          <w:szCs w:val="24"/>
          <w:lang w:val="uk-UA"/>
        </w:rPr>
      </w:pPr>
      <w:r>
        <w:fldChar w:fldCharType="begin"/>
      </w:r>
      <w:r>
        <w:instrText xml:space="preserve"> HYPERLINK "file:///D:\\!\\ДИП%20маг%202008\\INVEST%20FONDY\\com.uamanagementinvestorsanswerslang=ua.html" \l "ans4#ans4" </w:instrText>
      </w:r>
      <w:r>
        <w:fldChar w:fldCharType="separate"/>
      </w:r>
      <w:r>
        <w:rPr>
          <w:rFonts w:ascii="Times New Roman" w:hAnsi="Times New Roman" w:cs="Times New Roman"/>
          <w:sz w:val="24"/>
          <w:szCs w:val="24"/>
          <w:lang w:val="uk-UA"/>
        </w:rPr>
        <w:t>К</w:t>
      </w:r>
      <w:r>
        <w:rPr>
          <w:rFonts w:ascii="Times New Roman" w:hAnsi="Times New Roman" w:cs="Times New Roman"/>
          <w:b/>
          <w:i/>
          <w:sz w:val="24"/>
          <w:szCs w:val="24"/>
          <w:lang w:val="uk-UA"/>
        </w:rPr>
        <w:t>омпанія по управлінню активами</w:t>
      </w: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(КУА), її функції: </w:t>
      </w:r>
      <w:r>
        <w:rPr>
          <w:rFonts w:ascii="Times New Roman" w:hAnsi="Times New Roman" w:cs="Times New Roman"/>
          <w:sz w:val="24"/>
          <w:szCs w:val="24"/>
          <w:lang w:val="uk-UA"/>
        </w:rPr>
        <w:t xml:space="preserve">Обмеження діяльності компанії з управління активами. Винагорода КУА. Ліцензування діяльності КУА. </w:t>
      </w:r>
      <w:r>
        <w:rPr>
          <w:rFonts w:ascii="Times New Roman" w:hAnsi="Times New Roman" w:cs="Times New Roman"/>
          <w:sz w:val="24"/>
          <w:szCs w:val="24"/>
          <w:lang w:val="uk-UA"/>
        </w:rPr>
        <w:fldChar w:fldCharType="end"/>
      </w:r>
      <w:r>
        <w:fldChar w:fldCharType="begin"/>
      </w:r>
      <w:r>
        <w:instrText xml:space="preserve"> HYPERLINK "file:///D:\\!\\ДИП%20маг%202008\\INVEST%20FONDY\\com.uamanagementinvestorsanswerslang=ua.html" \l "ans5#ans5" </w:instrText>
      </w:r>
      <w:r>
        <w:fldChar w:fldCharType="separate"/>
      </w:r>
      <w:r>
        <w:rPr>
          <w:rFonts w:ascii="Times New Roman" w:hAnsi="Times New Roman" w:cs="Times New Roman"/>
          <w:sz w:val="24"/>
          <w:szCs w:val="24"/>
          <w:lang w:val="uk-UA"/>
        </w:rPr>
        <w:t xml:space="preserve">Контроль за діяльністю КУА. </w:t>
      </w:r>
      <w:r>
        <w:rPr>
          <w:rFonts w:ascii="Times New Roman" w:hAnsi="Times New Roman" w:cs="Times New Roman"/>
          <w:sz w:val="24"/>
          <w:szCs w:val="24"/>
          <w:lang w:val="uk-UA"/>
        </w:rPr>
        <w:fldChar w:fldCharType="end"/>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Зберігач активів інституту спільного інвестування: </w:t>
      </w:r>
      <w:r>
        <w:rPr>
          <w:rFonts w:ascii="Times New Roman" w:hAnsi="Times New Roman" w:cs="Times New Roman"/>
          <w:sz w:val="24"/>
          <w:szCs w:val="24"/>
          <w:lang w:val="uk-UA"/>
        </w:rPr>
        <w:t>Діяльність зберігача активів ІСІ. Обслуговування коштів ІСІ. Відповідальність зберігача.</w:t>
      </w:r>
    </w:p>
    <w:p>
      <w:pPr>
        <w:tabs>
          <w:tab w:val="left" w:pos="1418"/>
        </w:tabs>
        <w:spacing w:after="0" w:line="240" w:lineRule="auto"/>
        <w:ind w:firstLine="567"/>
        <w:jc w:val="both"/>
        <w:rPr>
          <w:rFonts w:ascii="Times New Roman" w:hAnsi="Times New Roman" w:cs="Times New Roman"/>
          <w:b/>
          <w:i/>
          <w:sz w:val="24"/>
          <w:szCs w:val="24"/>
          <w:lang w:val="uk-UA"/>
        </w:rPr>
      </w:pPr>
      <w:r>
        <w:rPr>
          <w:rFonts w:ascii="Times New Roman" w:hAnsi="Times New Roman" w:cs="Times New Roman"/>
          <w:b/>
          <w:i/>
          <w:sz w:val="24"/>
          <w:szCs w:val="24"/>
          <w:lang w:val="uk-UA"/>
        </w:rPr>
        <w:t>Оцінювач майна інституту спільного інвестування.</w:t>
      </w:r>
    </w:p>
    <w:p>
      <w:pPr>
        <w:tabs>
          <w:tab w:val="left" w:pos="1418"/>
        </w:tabs>
        <w:spacing w:after="0" w:line="240" w:lineRule="auto"/>
        <w:ind w:firstLine="567"/>
        <w:jc w:val="both"/>
        <w:rPr>
          <w:rFonts w:ascii="Times New Roman" w:hAnsi="Times New Roman" w:cs="Times New Roman"/>
          <w:b/>
          <w:i/>
          <w:sz w:val="24"/>
          <w:szCs w:val="24"/>
          <w:lang w:val="uk-UA"/>
        </w:rPr>
      </w:pPr>
      <w:r>
        <w:rPr>
          <w:rFonts w:ascii="Times New Roman" w:hAnsi="Times New Roman" w:cs="Times New Roman"/>
          <w:b/>
          <w:i/>
          <w:sz w:val="24"/>
          <w:szCs w:val="24"/>
          <w:lang w:val="uk-UA"/>
        </w:rPr>
        <w:t>Аудиторська перевірка інституту спільного інвестування.</w:t>
      </w:r>
    </w:p>
    <w:p>
      <w:pPr>
        <w:tabs>
          <w:tab w:val="left" w:pos="1418"/>
        </w:tabs>
        <w:spacing w:after="0"/>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11. Практика у  недержавних пенсійних фондах (НПФ)</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1</w:t>
      </w:r>
    </w:p>
    <w:p>
      <w:pPr>
        <w:tabs>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 Характеристика типів недержавного пенсійного забезпечення. </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Надати</w:t>
      </w:r>
      <w:r>
        <w:rPr>
          <w:rFonts w:ascii="Times New Roman" w:hAnsi="Times New Roman" w:cs="Times New Roman"/>
          <w:bCs/>
          <w:sz w:val="24"/>
          <w:szCs w:val="24"/>
          <w:lang w:val="uk-UA"/>
        </w:rPr>
        <w:t xml:space="preserve"> загальну характеристику НПФ залежно від виду (відкриті, корпоративні, професійні).</w:t>
      </w:r>
    </w:p>
    <w:p>
      <w:pPr>
        <w:shd w:val="clear" w:color="auto" w:fill="FFFFFF"/>
        <w:tabs>
          <w:tab w:val="left" w:pos="1418"/>
        </w:tabs>
        <w:spacing w:after="0" w:line="240" w:lineRule="auto"/>
        <w:ind w:firstLine="567"/>
        <w:jc w:val="both"/>
        <w:rPr>
          <w:rFonts w:ascii="Times New Roman" w:hAnsi="Times New Roman" w:cs="Times New Roman"/>
          <w:b/>
          <w:bCs/>
          <w:spacing w:val="-9"/>
          <w:sz w:val="24"/>
          <w:szCs w:val="24"/>
          <w:lang w:val="uk-UA"/>
        </w:rPr>
      </w:pPr>
      <w:r>
        <w:rPr>
          <w:rFonts w:ascii="Times New Roman" w:hAnsi="Times New Roman" w:cs="Times New Roman"/>
          <w:b/>
          <w:bCs/>
          <w:spacing w:val="-9"/>
          <w:sz w:val="24"/>
          <w:szCs w:val="24"/>
          <w:lang w:val="uk-UA"/>
        </w:rPr>
        <w:t>2. Загальна характеристика НПФ – бази практики.</w:t>
      </w:r>
    </w:p>
    <w:p>
      <w:pPr>
        <w:shd w:val="clear" w:color="auto" w:fill="FFFFFF"/>
        <w:tabs>
          <w:tab w:val="left" w:pos="1418"/>
        </w:tabs>
        <w:spacing w:after="0" w:line="240" w:lineRule="auto"/>
        <w:ind w:firstLine="567"/>
        <w:jc w:val="both"/>
        <w:rPr>
          <w:rFonts w:ascii="Times New Roman" w:hAnsi="Times New Roman" w:cs="Times New Roman"/>
          <w:bCs/>
          <w:spacing w:val="-11"/>
          <w:sz w:val="24"/>
          <w:szCs w:val="24"/>
          <w:lang w:val="uk-UA"/>
        </w:rPr>
      </w:pPr>
      <w:r>
        <w:rPr>
          <w:rFonts w:ascii="Times New Roman" w:hAnsi="Times New Roman" w:cs="Times New Roman"/>
          <w:b/>
          <w:bCs/>
          <w:i/>
          <w:spacing w:val="-9"/>
          <w:sz w:val="24"/>
          <w:szCs w:val="24"/>
          <w:lang w:val="uk-UA"/>
        </w:rPr>
        <w:t>Ознайомитись</w:t>
      </w:r>
      <w:r>
        <w:rPr>
          <w:rFonts w:ascii="Times New Roman" w:hAnsi="Times New Roman" w:cs="Times New Roman"/>
          <w:bCs/>
          <w:spacing w:val="-9"/>
          <w:sz w:val="24"/>
          <w:szCs w:val="24"/>
          <w:lang w:val="uk-UA"/>
        </w:rPr>
        <w:t xml:space="preserve"> з установчими документами недержавної фінустанови, структурою та ієрархією </w:t>
      </w:r>
      <w:r>
        <w:rPr>
          <w:rFonts w:ascii="Times New Roman" w:hAnsi="Times New Roman" w:cs="Times New Roman"/>
          <w:bCs/>
          <w:spacing w:val="-8"/>
          <w:sz w:val="24"/>
          <w:szCs w:val="24"/>
          <w:lang w:val="uk-UA"/>
        </w:rPr>
        <w:t xml:space="preserve">органів управління, </w:t>
      </w:r>
      <w:r>
        <w:rPr>
          <w:rFonts w:ascii="Times New Roman" w:hAnsi="Times New Roman" w:cs="Times New Roman"/>
          <w:bCs/>
          <w:spacing w:val="-11"/>
          <w:sz w:val="24"/>
          <w:szCs w:val="24"/>
          <w:lang w:val="uk-UA"/>
        </w:rPr>
        <w:t>організаційно-правовою формою.</w:t>
      </w:r>
    </w:p>
    <w:p>
      <w:pPr>
        <w:tabs>
          <w:tab w:val="left" w:pos="1418"/>
        </w:tabs>
        <w:spacing w:after="0" w:line="240" w:lineRule="auto"/>
        <w:ind w:firstLine="567"/>
        <w:jc w:val="both"/>
        <w:rPr>
          <w:rFonts w:ascii="Times New Roman" w:hAnsi="Times New Roman" w:cs="Times New Roman"/>
          <w:i/>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організаційну структуру недержавного пенсійного фонду (описати і подати схематично): </w:t>
      </w:r>
      <w:r>
        <w:rPr>
          <w:rFonts w:ascii="Times New Roman" w:hAnsi="Times New Roman" w:cs="Times New Roman"/>
          <w:i/>
          <w:sz w:val="24"/>
          <w:szCs w:val="24"/>
          <w:lang w:val="uk-UA"/>
        </w:rPr>
        <w:t>Рада фонду та її функції; Адміністратор фонду та його поточні операції; Компанія з управління активами; Зберігач; Державний нагляд.</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Описати</w:t>
      </w:r>
      <w:r>
        <w:rPr>
          <w:rFonts w:ascii="Times New Roman" w:hAnsi="Times New Roman" w:cs="Times New Roman"/>
          <w:sz w:val="24"/>
          <w:szCs w:val="24"/>
          <w:lang w:val="uk-UA"/>
        </w:rPr>
        <w:t xml:space="preserve"> порядок створення та реєстрації НПФ.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Охарактеризувати</w:t>
      </w:r>
      <w:r>
        <w:rPr>
          <w:rFonts w:ascii="Times New Roman" w:hAnsi="Times New Roman" w:cs="Times New Roman"/>
          <w:sz w:val="24"/>
          <w:szCs w:val="24"/>
          <w:lang w:val="uk-UA"/>
        </w:rPr>
        <w:t xml:space="preserve"> структуру клієнтів НПФ, їх галузеву приналежність.</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Ознайомитися</w:t>
      </w:r>
      <w:r>
        <w:rPr>
          <w:rFonts w:ascii="Times New Roman" w:hAnsi="Times New Roman" w:cs="Times New Roman"/>
          <w:sz w:val="24"/>
          <w:szCs w:val="24"/>
          <w:lang w:val="uk-UA"/>
        </w:rPr>
        <w:t xml:space="preserve"> з нормативними актами, якими керуються такі фінансові установи.</w:t>
      </w:r>
    </w:p>
    <w:p>
      <w:pPr>
        <w:shd w:val="clear" w:color="auto" w:fill="FFFFFF"/>
        <w:tabs>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pacing w:val="-10"/>
          <w:sz w:val="24"/>
          <w:szCs w:val="24"/>
          <w:lang w:val="uk-UA"/>
        </w:rPr>
        <w:t xml:space="preserve">3. Мета та основні види діяльності (згідно </w:t>
      </w:r>
      <w:r>
        <w:rPr>
          <w:rFonts w:ascii="Times New Roman" w:hAnsi="Times New Roman" w:cs="Times New Roman"/>
          <w:b/>
          <w:bCs/>
          <w:spacing w:val="-11"/>
          <w:sz w:val="24"/>
          <w:szCs w:val="24"/>
          <w:lang w:val="uk-UA"/>
        </w:rPr>
        <w:t>законодавства та установчих документів).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Інвестування внесків, сплачених до недержавних пенсійних фондів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Вибір пенсійного фонду. Права учасника пенсійного фонду, до якого він сплачує внески.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Обчислення величини суми, яка обліковується на рахунку учасника</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Повідомлення інформації про стан рахунку учасника</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Умови отримання учасником виплат зі свого пенсійного рахунку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Варіанти пенсійного забезпечення учасника при досягненні ним пенсійного віку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Випадки, в яких дозволяється виплачувати накопичені на рахунку Кошти одноразово до досягнення пенсійного віку</w:t>
      </w:r>
    </w:p>
    <w:p>
      <w:pPr>
        <w:shd w:val="clear" w:color="auto" w:fill="FFFFFF"/>
        <w:tabs>
          <w:tab w:val="left" w:pos="1418"/>
        </w:tabs>
        <w:autoSpaceDE w:val="0"/>
        <w:autoSpaceDN w:val="0"/>
        <w:spacing w:after="0" w:line="240" w:lineRule="auto"/>
        <w:ind w:left="360"/>
        <w:jc w:val="both"/>
        <w:rPr>
          <w:rFonts w:ascii="Times New Roman" w:hAnsi="Times New Roman" w:cs="Times New Roman"/>
          <w:spacing w:val="-4"/>
          <w:sz w:val="24"/>
          <w:szCs w:val="24"/>
          <w:lang w:val="uk-UA"/>
        </w:rPr>
      </w:pPr>
      <w:r>
        <w:rPr>
          <w:rFonts w:ascii="Times New Roman" w:hAnsi="Times New Roman" w:cs="Times New Roman"/>
          <w:b/>
          <w:bCs/>
          <w:sz w:val="24"/>
          <w:szCs w:val="24"/>
          <w:lang w:val="uk-UA"/>
        </w:rPr>
        <w:t xml:space="preserve">4. Аналіз основних показників діяльності НПФ: </w:t>
      </w:r>
      <w:r>
        <w:rPr>
          <w:rFonts w:ascii="Times New Roman" w:hAnsi="Times New Roman" w:cs="Times New Roman"/>
          <w:sz w:val="24"/>
          <w:szCs w:val="24"/>
          <w:lang w:val="uk-UA"/>
        </w:rPr>
        <w:t xml:space="preserve">Загальна кількість вкладників. Кількість учасників фонду. Загальна сума пенсійних виплат. Загальна сума пенсійних внесків. Чиста вартість одиниці пенсійних внесків. Чиста вартість активів. </w:t>
      </w:r>
      <w:r>
        <w:rPr>
          <w:rFonts w:ascii="Times New Roman" w:hAnsi="Times New Roman" w:cs="Times New Roman"/>
          <w:spacing w:val="-4"/>
          <w:sz w:val="24"/>
          <w:szCs w:val="24"/>
          <w:lang w:val="uk-UA"/>
        </w:rPr>
        <w:t xml:space="preserve">Провести аналіз формування та використання ресурсів НПФ і дати їх оцінку в динаміці за 3 останні роки. </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2</w:t>
      </w:r>
    </w:p>
    <w:p>
      <w:pPr>
        <w:tabs>
          <w:tab w:val="left" w:pos="851"/>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1.   Оподаткування пенсійних виплат.</w:t>
      </w:r>
    </w:p>
    <w:p>
      <w:pPr>
        <w:tabs>
          <w:tab w:val="left" w:pos="851"/>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2. Захист пенсійних активів від розкрадання та зловживань у системі пенсійного забезпечення.</w:t>
      </w:r>
    </w:p>
    <w:p>
      <w:pPr>
        <w:tabs>
          <w:tab w:val="left" w:pos="851"/>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3. Регулювання оплати послуг та нарахування комісійних.</w:t>
      </w:r>
    </w:p>
    <w:p>
      <w:pPr>
        <w:tabs>
          <w:tab w:val="left" w:pos="851"/>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4. Документація та основні форми звітності НПФ, їх характеристика.</w:t>
      </w:r>
    </w:p>
    <w:p>
      <w:pPr>
        <w:tabs>
          <w:tab w:val="left" w:pos="1418"/>
        </w:tabs>
        <w:spacing w:after="0" w:line="240" w:lineRule="auto"/>
        <w:ind w:firstLine="567"/>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12.Практика у кредитних спілках</w:t>
      </w:r>
    </w:p>
    <w:p>
      <w:pPr>
        <w:widowControl w:val="0"/>
        <w:tabs>
          <w:tab w:val="left" w:pos="1418"/>
        </w:tabs>
        <w:adjustRightInd w:val="0"/>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Частина1</w:t>
      </w:r>
    </w:p>
    <w:p>
      <w:pPr>
        <w:numPr>
          <w:ilvl w:val="0"/>
          <w:numId w:val="11"/>
        </w:numPr>
        <w:tabs>
          <w:tab w:val="left" w:pos="851"/>
          <w:tab w:val="left" w:pos="1134"/>
          <w:tab w:val="left" w:pos="1418"/>
          <w:tab w:val="clear" w:pos="720"/>
        </w:tabs>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Загальна характеристика кредитної спілки (далі – КС).</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Вивчити</w:t>
      </w:r>
      <w:r>
        <w:rPr>
          <w:rFonts w:ascii="Times New Roman" w:hAnsi="Times New Roman" w:cs="Times New Roman"/>
          <w:bCs/>
          <w:sz w:val="24"/>
          <w:szCs w:val="24"/>
          <w:lang w:val="uk-UA"/>
        </w:rPr>
        <w:t xml:space="preserve"> організаційну структуру КС (центральний апарат, філії, відділення, якщо є). Органи управління, їх повноваження (загальні збори, спостережна рада, правління КС). Функціональні підрозділи КС (бухгалтерія, кредитний комітет КС). Контролюючі органи. ( ревізійна комісія).</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 xml:space="preserve">Описати </w:t>
      </w:r>
      <w:r>
        <w:rPr>
          <w:rFonts w:ascii="Times New Roman" w:hAnsi="Times New Roman" w:cs="Times New Roman"/>
          <w:bCs/>
          <w:sz w:val="24"/>
          <w:szCs w:val="24"/>
          <w:lang w:val="uk-UA"/>
        </w:rPr>
        <w:t xml:space="preserve">порядок створення та реєстрації КС. Охарактеризувати структуру клієнтів КС, їх галузеву приналежність. </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Ознайомитися</w:t>
      </w:r>
      <w:r>
        <w:rPr>
          <w:rFonts w:ascii="Times New Roman" w:hAnsi="Times New Roman" w:cs="Times New Roman"/>
          <w:bCs/>
          <w:sz w:val="24"/>
          <w:szCs w:val="24"/>
          <w:lang w:val="uk-UA"/>
        </w:rPr>
        <w:t xml:space="preserve"> з нормативними актами, якими керуються КС.</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2. Членство в кредитній спілці. </w:t>
      </w:r>
      <w:r>
        <w:rPr>
          <w:rFonts w:ascii="Times New Roman" w:hAnsi="Times New Roman" w:cs="Times New Roman"/>
          <w:b/>
          <w:bCs/>
          <w:i/>
          <w:sz w:val="24"/>
          <w:szCs w:val="24"/>
          <w:lang w:val="uk-UA"/>
        </w:rPr>
        <w:t>Розглянути</w:t>
      </w:r>
      <w:r>
        <w:rPr>
          <w:rFonts w:ascii="Times New Roman" w:hAnsi="Times New Roman" w:cs="Times New Roman"/>
          <w:bCs/>
          <w:sz w:val="24"/>
          <w:szCs w:val="24"/>
          <w:lang w:val="uk-UA"/>
        </w:rPr>
        <w:t xml:space="preserve"> порядок набуття членства в КС. Ознаки членства в КС. Вимоги щодо дотримання членства в КС. Кошти членів КС.</w:t>
      </w:r>
    </w:p>
    <w:p>
      <w:pPr>
        <w:tabs>
          <w:tab w:val="left" w:pos="1080"/>
          <w:tab w:val="left" w:pos="1134"/>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3. Формування </w:t>
      </w:r>
      <w:r>
        <w:rPr>
          <w:rFonts w:ascii="Times New Roman" w:hAnsi="Times New Roman" w:cs="Times New Roman"/>
          <w:b/>
          <w:bCs/>
          <w:sz w:val="24"/>
          <w:szCs w:val="24"/>
        </w:rPr>
        <w:t>та використання капіталу</w:t>
      </w:r>
      <w:r>
        <w:rPr>
          <w:rFonts w:ascii="Times New Roman" w:hAnsi="Times New Roman" w:cs="Times New Roman"/>
          <w:b/>
          <w:bCs/>
          <w:sz w:val="24"/>
          <w:szCs w:val="24"/>
          <w:lang w:val="uk-UA"/>
        </w:rPr>
        <w:t xml:space="preserve"> кредитної спілки.</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Розглянути</w:t>
      </w:r>
      <w:r>
        <w:rPr>
          <w:rFonts w:ascii="Times New Roman" w:hAnsi="Times New Roman" w:cs="Times New Roman"/>
          <w:bCs/>
          <w:sz w:val="24"/>
          <w:szCs w:val="24"/>
          <w:lang w:val="uk-UA"/>
        </w:rPr>
        <w:t xml:space="preserve"> структуру й порядок формування капіталу КС в динаміці за 2 роки. Особливості формування  пайового, резервного, додаткового капіталу.</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Вивчити</w:t>
      </w:r>
      <w:r>
        <w:rPr>
          <w:rFonts w:ascii="Times New Roman" w:hAnsi="Times New Roman" w:cs="Times New Roman"/>
          <w:bCs/>
          <w:sz w:val="24"/>
          <w:szCs w:val="24"/>
          <w:lang w:val="uk-UA"/>
        </w:rPr>
        <w:t xml:space="preserve"> порядок розподілу доходу КС. Порядок використання КС капіталу на покриття збитків.</w:t>
      </w:r>
    </w:p>
    <w:p>
      <w:pPr>
        <w:numPr>
          <w:ilvl w:val="0"/>
          <w:numId w:val="12"/>
        </w:numPr>
        <w:tabs>
          <w:tab w:val="left" w:pos="993"/>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Порядок придбання та продажу майна кредитної спілки, розміщення її тимчасово вільних коштів та коштів, що повинні зберігатися у формі ліквідних активів. </w:t>
      </w:r>
    </w:p>
    <w:p>
      <w:pPr>
        <w:widowControl w:val="0"/>
        <w:tabs>
          <w:tab w:val="left" w:pos="1418"/>
        </w:tabs>
        <w:adjustRightInd w:val="0"/>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tabs>
          <w:tab w:val="left" w:pos="993"/>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  Механізм кредитування в кредитній спілці.</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Вивчити</w:t>
      </w:r>
      <w:r>
        <w:rPr>
          <w:rFonts w:ascii="Times New Roman" w:hAnsi="Times New Roman" w:cs="Times New Roman"/>
          <w:bCs/>
          <w:sz w:val="24"/>
          <w:szCs w:val="24"/>
          <w:lang w:val="uk-UA"/>
        </w:rPr>
        <w:t xml:space="preserve"> порядок організації кредитної діяльності КС. Етапи надання кредитів. Укладання та зміна умов кредитного договору.</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Процедура</w:t>
      </w:r>
      <w:r>
        <w:rPr>
          <w:rFonts w:ascii="Times New Roman" w:hAnsi="Times New Roman" w:cs="Times New Roman"/>
          <w:bCs/>
          <w:sz w:val="24"/>
          <w:szCs w:val="24"/>
          <w:lang w:val="uk-UA"/>
        </w:rPr>
        <w:t xml:space="preserve"> прийому і оформлення заяви на кредит: реєстрація заяви. Визначення можливості надання кредиту. Відповідність заяви первинним умовам. Особливості оформлення заяв на дрібні кредити.</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 xml:space="preserve">Перевірка </w:t>
      </w:r>
      <w:r>
        <w:rPr>
          <w:rFonts w:ascii="Times New Roman" w:hAnsi="Times New Roman" w:cs="Times New Roman"/>
          <w:bCs/>
          <w:sz w:val="24"/>
          <w:szCs w:val="24"/>
          <w:lang w:val="uk-UA"/>
        </w:rPr>
        <w:t>інформації про замовника. Аналіз документів на предмет повноти та достовірності. Перевірка кредитної історії. Перевірка рахунків.</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Оцінка</w:t>
      </w:r>
      <w:r>
        <w:rPr>
          <w:rFonts w:ascii="Times New Roman" w:hAnsi="Times New Roman" w:cs="Times New Roman"/>
          <w:bCs/>
          <w:sz w:val="24"/>
          <w:szCs w:val="24"/>
          <w:lang w:val="uk-UA"/>
        </w:rPr>
        <w:t xml:space="preserve"> спроможності позичальника повернути кредит. Перевірка кредитоспроможності. Перевірка фінансового стану. Проведення експертної оцінки бізнес-плану та/або перевірка цільового характеру використання кредиту.</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Перевірка</w:t>
      </w:r>
      <w:r>
        <w:rPr>
          <w:rFonts w:ascii="Times New Roman" w:hAnsi="Times New Roman" w:cs="Times New Roman"/>
          <w:bCs/>
          <w:sz w:val="24"/>
          <w:szCs w:val="24"/>
          <w:lang w:val="uk-UA"/>
        </w:rPr>
        <w:t xml:space="preserve"> забезпечення кредиту. Перевірка гарантій/поручительств, наданих заявником. Відхилення гарантій. Забезпечення кредиту заставою. Перевірка застави рухомого майна. Вартість забезпечення.</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 xml:space="preserve">Підготовка </w:t>
      </w:r>
      <w:r>
        <w:rPr>
          <w:rFonts w:ascii="Times New Roman" w:hAnsi="Times New Roman" w:cs="Times New Roman"/>
          <w:bCs/>
          <w:sz w:val="24"/>
          <w:szCs w:val="24"/>
          <w:lang w:val="uk-UA"/>
        </w:rPr>
        <w:t>кредитного договору. Процес підготовки договору кредитної лінії. Структура кредиту.</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Оцінка</w:t>
      </w:r>
      <w:r>
        <w:rPr>
          <w:rFonts w:ascii="Times New Roman" w:hAnsi="Times New Roman" w:cs="Times New Roman"/>
          <w:bCs/>
          <w:sz w:val="24"/>
          <w:szCs w:val="24"/>
          <w:lang w:val="uk-UA"/>
        </w:rPr>
        <w:t xml:space="preserve"> кредитного ризику та прийняття кредитного рішення. Рішення кредитного комітету.</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Обслуговування</w:t>
      </w:r>
      <w:r>
        <w:rPr>
          <w:rFonts w:ascii="Times New Roman" w:hAnsi="Times New Roman" w:cs="Times New Roman"/>
          <w:bCs/>
          <w:sz w:val="24"/>
          <w:szCs w:val="24"/>
          <w:lang w:val="uk-UA"/>
        </w:rPr>
        <w:t xml:space="preserve"> кредиту. Супроводження наданих кредитів. Пролонгація кредитного договору. Перевірка поточного фінансового стану позичальника та стану заставленого майна.</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Робота</w:t>
      </w:r>
      <w:r>
        <w:rPr>
          <w:rFonts w:ascii="Times New Roman" w:hAnsi="Times New Roman" w:cs="Times New Roman"/>
          <w:bCs/>
          <w:sz w:val="24"/>
          <w:szCs w:val="24"/>
          <w:lang w:val="uk-UA"/>
        </w:rPr>
        <w:t xml:space="preserve"> з простроченими кредитами. Контроль за кредитами. Робота з гарантами та поручителями. Організація роботи з примусового стягнення неповернених кредитів. Завершення кредитування.</w:t>
      </w:r>
    </w:p>
    <w:p>
      <w:pPr>
        <w:tabs>
          <w:tab w:val="left" w:pos="993"/>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 Оцінка фінансових нормативів та критеріїв якості системи управління кредитної спілки.</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Норматив достатності капіталу. Норматив платоспроможності. Нормативи якості активів. Нормативи ризиковості операцій. Нормативи зобов’язання КС. Норматив прибутковості. Нормативи ліквідності.</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Резерв забезпечення покриття втрат від неповернених позичок покриття збитків КС. Інші фінансові нормативи і критерії.</w:t>
      </w:r>
    </w:p>
    <w:p>
      <w:pPr>
        <w:tabs>
          <w:tab w:val="left" w:pos="993"/>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3. Звітність про фінансово-господарську діяльність кредитної спілки.</w:t>
      </w:r>
    </w:p>
    <w:p>
      <w:pPr>
        <w:tabs>
          <w:tab w:val="left" w:pos="1418"/>
        </w:tabs>
        <w:spacing w:after="0" w:line="240" w:lineRule="auto"/>
        <w:ind w:firstLine="567"/>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13. Практика в Департаменті фінансів </w:t>
      </w:r>
    </w:p>
    <w:p>
      <w:pPr>
        <w:tabs>
          <w:tab w:val="left" w:pos="1418"/>
        </w:tabs>
        <w:spacing w:after="0" w:line="240" w:lineRule="auto"/>
        <w:ind w:firstLine="567"/>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Миколаївської обласної державної адміністрації</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1</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Pr>
          <w:rFonts w:ascii="Times New Roman" w:hAnsi="Times New Roman" w:cs="Times New Roman"/>
          <w:b/>
          <w:i/>
          <w:sz w:val="24"/>
          <w:szCs w:val="24"/>
          <w:lang w:val="uk-UA"/>
        </w:rPr>
        <w:t xml:space="preserve">Визначити </w:t>
      </w:r>
      <w:r>
        <w:rPr>
          <w:rFonts w:ascii="Times New Roman" w:hAnsi="Times New Roman" w:cs="Times New Roman"/>
          <w:sz w:val="24"/>
          <w:szCs w:val="24"/>
          <w:lang w:val="uk-UA"/>
        </w:rPr>
        <w:t xml:space="preserve">організаційну структуру Департаменту, його цілі та завдання.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нормативною базою діяльності Департаменту фінансів.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плани роботи департаменту фінансів (місячні, річні).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Pr>
          <w:rFonts w:ascii="Times New Roman" w:hAnsi="Times New Roman" w:cs="Times New Roman"/>
          <w:b/>
          <w:i/>
          <w:sz w:val="24"/>
          <w:szCs w:val="24"/>
          <w:lang w:val="uk-UA"/>
        </w:rPr>
        <w:t>Ознайомитись та проаналізувати</w:t>
      </w:r>
      <w:r>
        <w:rPr>
          <w:rFonts w:ascii="Times New Roman" w:hAnsi="Times New Roman" w:cs="Times New Roman"/>
          <w:sz w:val="24"/>
          <w:szCs w:val="24"/>
          <w:lang w:val="uk-UA"/>
        </w:rPr>
        <w:t xml:space="preserve"> фінансовий стан Миколаївської області за попередні три роки.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Pr>
          <w:rFonts w:ascii="Times New Roman" w:hAnsi="Times New Roman" w:cs="Times New Roman"/>
          <w:b/>
          <w:i/>
          <w:sz w:val="24"/>
          <w:szCs w:val="24"/>
          <w:lang w:val="uk-UA"/>
        </w:rPr>
        <w:t>Ознайомитися</w:t>
      </w:r>
      <w:r>
        <w:rPr>
          <w:rFonts w:ascii="Times New Roman" w:hAnsi="Times New Roman" w:cs="Times New Roman"/>
          <w:sz w:val="24"/>
          <w:szCs w:val="24"/>
          <w:lang w:val="uk-UA"/>
        </w:rPr>
        <w:t xml:space="preserve"> з принципами формування бюджетної політики регіону.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Pr>
          <w:rFonts w:ascii="Times New Roman" w:hAnsi="Times New Roman" w:cs="Times New Roman"/>
          <w:b/>
          <w:i/>
          <w:sz w:val="24"/>
          <w:szCs w:val="24"/>
          <w:lang w:val="uk-UA"/>
        </w:rPr>
        <w:t>Охарактеризувати</w:t>
      </w:r>
      <w:r>
        <w:rPr>
          <w:rFonts w:ascii="Times New Roman" w:hAnsi="Times New Roman" w:cs="Times New Roman"/>
          <w:sz w:val="24"/>
          <w:szCs w:val="24"/>
          <w:lang w:val="uk-UA"/>
        </w:rPr>
        <w:t xml:space="preserve"> інвестиційну складову програм економічного та соціального розвитку регіону.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джерелами та особливості фінансування програми капітального будівництва регіону.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та проаналізувати розрахунки до формування доходної частини бюджету області.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методами бюджетного та фінансового планування.</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Pr>
          <w:rFonts w:ascii="Times New Roman" w:hAnsi="Times New Roman" w:cs="Times New Roman"/>
          <w:b/>
          <w:i/>
          <w:sz w:val="24"/>
          <w:szCs w:val="24"/>
          <w:lang w:val="uk-UA"/>
        </w:rPr>
        <w:t>Визначити та проаналізувати</w:t>
      </w:r>
      <w:r>
        <w:rPr>
          <w:rFonts w:ascii="Times New Roman" w:hAnsi="Times New Roman" w:cs="Times New Roman"/>
          <w:sz w:val="24"/>
          <w:szCs w:val="24"/>
          <w:lang w:val="uk-UA"/>
        </w:rPr>
        <w:t xml:space="preserve"> порядок фінансового забезпечення регіональних цільових програм розвитку промисловості області, транспорту та зв’язку, ефективного використання паливно-енергетичних ресурсів, енергозбереження, відновлюваних джерел енергії та альтернативних видів палива.</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фінансовими аспектами та порядком реалізації в області Державної стратегії економічного і соціального розвитку та підготовки звітів з її виконання.</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Pr>
          <w:rFonts w:ascii="Times New Roman" w:hAnsi="Times New Roman" w:cs="Times New Roman"/>
          <w:b/>
          <w:i/>
          <w:sz w:val="24"/>
          <w:szCs w:val="24"/>
          <w:lang w:val="uk-UA"/>
        </w:rPr>
        <w:t>Визначити та проаналізувати</w:t>
      </w:r>
      <w:r>
        <w:rPr>
          <w:rFonts w:ascii="Times New Roman" w:hAnsi="Times New Roman" w:cs="Times New Roman"/>
          <w:sz w:val="24"/>
          <w:szCs w:val="24"/>
          <w:lang w:val="uk-UA"/>
        </w:rPr>
        <w:t xml:space="preserve"> порядок здійснення фінансового контролю за станом і динамікою економічного та соціального розвитку області.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системою моніторингу загроз фінансово-економічній безпеці держави та регіонів.</w:t>
      </w:r>
    </w:p>
    <w:p>
      <w:pPr>
        <w:tabs>
          <w:tab w:val="left" w:pos="1418"/>
        </w:tabs>
        <w:spacing w:after="0" w:line="240" w:lineRule="auto"/>
        <w:ind w:firstLine="567"/>
        <w:jc w:val="both"/>
        <w:rPr>
          <w:rFonts w:ascii="Times New Roman" w:hAnsi="Times New Roman" w:cs="Times New Roman"/>
          <w:sz w:val="24"/>
          <w:szCs w:val="24"/>
          <w:lang w:val="uk-UA"/>
        </w:rPr>
      </w:pPr>
    </w:p>
    <w:p>
      <w:pPr>
        <w:pStyle w:val="44"/>
        <w:numPr>
          <w:ilvl w:val="0"/>
          <w:numId w:val="10"/>
        </w:numPr>
        <w:spacing w:after="0" w:line="240" w:lineRule="auto"/>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bCs/>
          <w:sz w:val="24"/>
          <w:szCs w:val="24"/>
          <w:lang w:val="uk-UA" w:eastAsia="ru-RU"/>
        </w:rPr>
        <w:t xml:space="preserve">Структура </w:t>
      </w:r>
      <w:r>
        <w:rPr>
          <w:rFonts w:ascii="Times New Roman" w:hAnsi="Times New Roman" w:eastAsia="Times New Roman" w:cs="Times New Roman"/>
          <w:b/>
          <w:sz w:val="24"/>
          <w:szCs w:val="24"/>
          <w:lang w:val="uk-UA" w:eastAsia="ru-RU"/>
        </w:rPr>
        <w:t>виробничої практики</w:t>
      </w: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Денна форма навчання</w:t>
      </w:r>
    </w:p>
    <w:tbl>
      <w:tblPr>
        <w:tblStyle w:val="12"/>
        <w:tblW w:w="492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0"/>
        <w:gridCol w:w="1009"/>
        <w:gridCol w:w="100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502" w:type="pct"/>
            <w:vMerge w:val="restar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Назви кредитів </w:t>
            </w:r>
          </w:p>
        </w:tc>
        <w:tc>
          <w:tcPr>
            <w:tcW w:w="1498" w:type="pct"/>
            <w:gridSpan w:val="3"/>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Кількість годин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502" w:type="pct"/>
            <w:vMerge w:val="continue"/>
          </w:tcPr>
          <w:p>
            <w:pPr>
              <w:spacing w:after="0" w:line="240" w:lineRule="auto"/>
              <w:ind w:firstLine="34"/>
              <w:jc w:val="center"/>
              <w:rPr>
                <w:rFonts w:ascii="Times New Roman" w:hAnsi="Times New Roman" w:eastAsia="Times New Roman" w:cs="Times New Roman"/>
                <w:sz w:val="24"/>
                <w:szCs w:val="24"/>
                <w:lang w:val="uk-UA" w:eastAsia="ru-RU"/>
              </w:rPr>
            </w:pPr>
          </w:p>
        </w:tc>
        <w:tc>
          <w:tcPr>
            <w:tcW w:w="512" w:type="pct"/>
            <w:vMerge w:val="restar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усього</w:t>
            </w:r>
          </w:p>
        </w:tc>
        <w:tc>
          <w:tcPr>
            <w:tcW w:w="986" w:type="pct"/>
            <w:gridSpan w:val="2"/>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Денна форма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3502" w:type="pct"/>
            <w:vMerge w:val="continue"/>
          </w:tcPr>
          <w:p>
            <w:pPr>
              <w:spacing w:after="0" w:line="240" w:lineRule="auto"/>
              <w:ind w:firstLine="34"/>
              <w:jc w:val="center"/>
              <w:rPr>
                <w:rFonts w:ascii="Times New Roman" w:hAnsi="Times New Roman" w:eastAsia="Times New Roman" w:cs="Times New Roman"/>
                <w:sz w:val="24"/>
                <w:szCs w:val="24"/>
                <w:lang w:val="uk-UA" w:eastAsia="ru-RU"/>
              </w:rPr>
            </w:pPr>
          </w:p>
        </w:tc>
        <w:tc>
          <w:tcPr>
            <w:tcW w:w="512" w:type="pct"/>
            <w:vMerge w:val="continue"/>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консультації</w:t>
            </w:r>
          </w:p>
        </w:tc>
        <w:tc>
          <w:tcPr>
            <w:tcW w:w="476"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vAlign w:val="center"/>
          </w:tcPr>
          <w:p>
            <w:pPr>
              <w:tabs>
                <w:tab w:val="left" w:pos="28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1. </w:t>
            </w:r>
            <w:r>
              <w:rPr>
                <w:rFonts w:ascii="Times New Roman" w:hAnsi="Times New Roman" w:eastAsia="Times New Roman" w:cs="Times New Roman"/>
                <w:sz w:val="24"/>
                <w:szCs w:val="24"/>
                <w:lang w:val="uk-UA" w:eastAsia="ru-RU"/>
              </w:rPr>
              <w:t>Ознайомлення з завданнями і метою виробничої практики у фінансово-кредитних установах</w:t>
            </w:r>
          </w:p>
        </w:tc>
        <w:tc>
          <w:tcPr>
            <w:tcW w:w="512"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c>
          <w:tcPr>
            <w:tcW w:w="476" w:type="pc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vAlign w:val="center"/>
          </w:tcPr>
          <w:p>
            <w:pPr>
              <w:tabs>
                <w:tab w:val="left" w:pos="0"/>
                <w:tab w:val="left" w:pos="3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2. </w:t>
            </w:r>
            <w:r>
              <w:rPr>
                <w:rFonts w:ascii="Times New Roman" w:hAnsi="Times New Roman" w:eastAsia="Times New Roman" w:cs="Times New Roman"/>
                <w:sz w:val="24"/>
                <w:szCs w:val="24"/>
                <w:lang w:val="uk-UA" w:eastAsia="ru-RU"/>
              </w:rPr>
              <w:t>Підписання договорів про проходження практики і складання рапорту про бази практик студентів</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c>
          <w:tcPr>
            <w:tcW w:w="476" w:type="pct"/>
            <w:tcBorders>
              <w:top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vAlign w:val="center"/>
          </w:tcPr>
          <w:p>
            <w:pPr>
              <w:tabs>
                <w:tab w:val="left" w:pos="284"/>
                <w:tab w:val="left" w:pos="567"/>
              </w:tabs>
              <w:spacing w:after="0" w:line="240" w:lineRule="auto"/>
              <w:ind w:firstLine="34"/>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3. </w:t>
            </w:r>
            <w:r>
              <w:rPr>
                <w:rFonts w:ascii="Times New Roman" w:hAnsi="Times New Roman" w:eastAsia="Times New Roman" w:cs="Times New Roman"/>
                <w:sz w:val="24"/>
                <w:szCs w:val="24"/>
                <w:lang w:val="uk-UA" w:eastAsia="ru-RU"/>
              </w:rPr>
              <w:t>Інструктаж з правил безпечної поведінки під час проходження виробничої практики у фінансово-кредитних установах</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c>
          <w:tcPr>
            <w:tcW w:w="476" w:type="pct"/>
            <w:tcBorders>
              <w:top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sz w:val="24"/>
                <w:szCs w:val="24"/>
                <w:lang w:val="uk-UA" w:eastAsia="ru-RU"/>
              </w:rPr>
              <w:t xml:space="preserve">Кредит 4. </w:t>
            </w:r>
            <w:r>
              <w:rPr>
                <w:rFonts w:ascii="Times New Roman" w:hAnsi="Times New Roman" w:eastAsia="Times New Roman" w:cs="Times New Roman"/>
                <w:sz w:val="24"/>
                <w:szCs w:val="24"/>
                <w:lang w:val="uk-UA" w:eastAsia="ru-RU"/>
              </w:rPr>
              <w:t>Знайомство з базою практики</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5. </w:t>
            </w:r>
            <w:r>
              <w:rPr>
                <w:rFonts w:ascii="Times New Roman" w:hAnsi="Times New Roman" w:eastAsia="Times New Roman" w:cs="Times New Roman"/>
                <w:sz w:val="24"/>
                <w:szCs w:val="24"/>
                <w:lang w:val="uk-UA" w:eastAsia="ru-RU"/>
              </w:rPr>
              <w:t>П</w:t>
            </w:r>
            <w:r>
              <w:rPr>
                <w:rFonts w:ascii="Times New Roman" w:hAnsi="Times New Roman" w:eastAsia="Times New Roman" w:cs="Times New Roman"/>
                <w:sz w:val="24"/>
                <w:szCs w:val="24"/>
                <w:lang w:val="uk-UA" w:eastAsia="uk-UA"/>
              </w:rPr>
              <w:t xml:space="preserve">ідбір та узагальнення необхідних даних (економічних, фінансових, бухгалтерських). </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6. </w:t>
            </w:r>
            <w:r>
              <w:rPr>
                <w:rFonts w:ascii="Times New Roman" w:hAnsi="Times New Roman" w:eastAsia="Times New Roman" w:cs="Times New Roman"/>
                <w:sz w:val="24"/>
                <w:szCs w:val="24"/>
                <w:lang w:val="uk-UA" w:eastAsia="ru-RU"/>
              </w:rPr>
              <w:t>Виконання посадових обов’язків практиканта відповідно до поставлених завдань</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7. </w:t>
            </w:r>
            <w:r>
              <w:rPr>
                <w:rFonts w:ascii="Times New Roman" w:hAnsi="Times New Roman" w:eastAsia="Times New Roman" w:cs="Times New Roman"/>
                <w:sz w:val="24"/>
                <w:szCs w:val="24"/>
                <w:lang w:val="uk-UA" w:eastAsia="ru-RU"/>
              </w:rPr>
              <w:t>Консультування студентів та контроль за проходженням практики</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c>
          <w:tcPr>
            <w:tcW w:w="476" w:type="pc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8. </w:t>
            </w:r>
            <w:r>
              <w:rPr>
                <w:rFonts w:ascii="Times New Roman" w:hAnsi="Times New Roman" w:eastAsia="Times New Roman" w:cs="Times New Roman"/>
                <w:sz w:val="24"/>
                <w:szCs w:val="24"/>
                <w:lang w:val="uk-UA" w:eastAsia="uk-UA"/>
              </w:rPr>
              <w:t>Оброблення та аналіз одержаної інформації, формування Звіту про практику, підписання всіх необхідних документів</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9. </w:t>
            </w:r>
            <w:r>
              <w:rPr>
                <w:rFonts w:ascii="Times New Roman" w:hAnsi="Times New Roman" w:eastAsia="Times New Roman" w:cs="Times New Roman"/>
                <w:sz w:val="24"/>
                <w:szCs w:val="24"/>
                <w:lang w:val="uk-UA" w:eastAsia="ru-RU"/>
              </w:rPr>
              <w:t>Захист Звітів про виробничу практику у фінансово-кредитних установах</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w:t>
            </w:r>
          </w:p>
        </w:tc>
        <w:tc>
          <w:tcPr>
            <w:tcW w:w="476" w:type="pc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spacing w:after="0" w:line="240" w:lineRule="auto"/>
              <w:ind w:firstLine="34"/>
              <w:jc w:val="right"/>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Усього годин</w:t>
            </w:r>
          </w:p>
        </w:tc>
        <w:tc>
          <w:tcPr>
            <w:tcW w:w="512" w:type="pct"/>
            <w:shd w:val="clear" w:color="auto" w:fill="auto"/>
            <w:vAlign w:val="center"/>
          </w:tcPr>
          <w:p>
            <w:pPr>
              <w:spacing w:after="0" w:line="240" w:lineRule="auto"/>
              <w:ind w:right="-57"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180</w:t>
            </w:r>
          </w:p>
        </w:tc>
        <w:tc>
          <w:tcPr>
            <w:tcW w:w="510" w:type="pct"/>
            <w:shd w:val="clear" w:color="auto" w:fill="auto"/>
            <w:vAlign w:val="center"/>
          </w:tcPr>
          <w:p>
            <w:pPr>
              <w:spacing w:after="0" w:line="240" w:lineRule="auto"/>
              <w:ind w:right="-57"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24</w:t>
            </w:r>
          </w:p>
        </w:tc>
        <w:tc>
          <w:tcPr>
            <w:tcW w:w="476" w:type="pct"/>
            <w:vAlign w:val="center"/>
          </w:tcPr>
          <w:p>
            <w:pPr>
              <w:spacing w:after="0" w:line="240" w:lineRule="auto"/>
              <w:ind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156</w:t>
            </w:r>
          </w:p>
        </w:tc>
      </w:tr>
    </w:tbl>
    <w:p>
      <w:pPr>
        <w:tabs>
          <w:tab w:val="left" w:pos="1418"/>
        </w:tabs>
        <w:spacing w:after="0" w:line="240" w:lineRule="auto"/>
        <w:rPr>
          <w:rFonts w:ascii="Times New Roman" w:hAnsi="Times New Roman" w:cs="Times New Roman"/>
          <w:sz w:val="28"/>
          <w:szCs w:val="28"/>
          <w:highlight w:val="green"/>
          <w:lang w:val="uk-UA"/>
        </w:rPr>
      </w:pP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Заочна форма навчання</w:t>
      </w:r>
    </w:p>
    <w:tbl>
      <w:tblPr>
        <w:tblStyle w:val="12"/>
        <w:tblW w:w="492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0"/>
        <w:gridCol w:w="1009"/>
        <w:gridCol w:w="100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502" w:type="pct"/>
            <w:vMerge w:val="restar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Назви кредитів </w:t>
            </w:r>
          </w:p>
        </w:tc>
        <w:tc>
          <w:tcPr>
            <w:tcW w:w="1498" w:type="pct"/>
            <w:gridSpan w:val="3"/>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Кількість годин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502" w:type="pct"/>
            <w:vMerge w:val="continue"/>
          </w:tcPr>
          <w:p>
            <w:pPr>
              <w:spacing w:after="0" w:line="240" w:lineRule="auto"/>
              <w:ind w:firstLine="34"/>
              <w:jc w:val="center"/>
              <w:rPr>
                <w:rFonts w:ascii="Times New Roman" w:hAnsi="Times New Roman" w:eastAsia="Times New Roman" w:cs="Times New Roman"/>
                <w:sz w:val="24"/>
                <w:szCs w:val="24"/>
                <w:lang w:val="uk-UA" w:eastAsia="ru-RU"/>
              </w:rPr>
            </w:pPr>
          </w:p>
        </w:tc>
        <w:tc>
          <w:tcPr>
            <w:tcW w:w="512" w:type="pct"/>
            <w:vMerge w:val="restar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усього</w:t>
            </w:r>
          </w:p>
        </w:tc>
        <w:tc>
          <w:tcPr>
            <w:tcW w:w="986" w:type="pct"/>
            <w:gridSpan w:val="2"/>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Денна форма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3502" w:type="pct"/>
            <w:vMerge w:val="continue"/>
          </w:tcPr>
          <w:p>
            <w:pPr>
              <w:spacing w:after="0" w:line="240" w:lineRule="auto"/>
              <w:ind w:firstLine="34"/>
              <w:jc w:val="center"/>
              <w:rPr>
                <w:rFonts w:ascii="Times New Roman" w:hAnsi="Times New Roman" w:eastAsia="Times New Roman" w:cs="Times New Roman"/>
                <w:sz w:val="24"/>
                <w:szCs w:val="24"/>
                <w:lang w:val="uk-UA" w:eastAsia="ru-RU"/>
              </w:rPr>
            </w:pPr>
          </w:p>
        </w:tc>
        <w:tc>
          <w:tcPr>
            <w:tcW w:w="512" w:type="pct"/>
            <w:vMerge w:val="continue"/>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консультації</w:t>
            </w:r>
          </w:p>
        </w:tc>
        <w:tc>
          <w:tcPr>
            <w:tcW w:w="476"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vAlign w:val="center"/>
          </w:tcPr>
          <w:p>
            <w:pPr>
              <w:tabs>
                <w:tab w:val="left" w:pos="28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1. </w:t>
            </w:r>
            <w:r>
              <w:rPr>
                <w:rFonts w:ascii="Times New Roman" w:hAnsi="Times New Roman" w:eastAsia="Times New Roman" w:cs="Times New Roman"/>
                <w:sz w:val="24"/>
                <w:szCs w:val="24"/>
                <w:lang w:val="uk-UA" w:eastAsia="ru-RU"/>
              </w:rPr>
              <w:t>Ознайомлення з завданнями і метою виробничої практики у фінансово-кредитних установах</w:t>
            </w:r>
          </w:p>
        </w:tc>
        <w:tc>
          <w:tcPr>
            <w:tcW w:w="512"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p>
        </w:tc>
        <w:tc>
          <w:tcPr>
            <w:tcW w:w="476" w:type="pc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vAlign w:val="center"/>
          </w:tcPr>
          <w:p>
            <w:pPr>
              <w:tabs>
                <w:tab w:val="left" w:pos="0"/>
                <w:tab w:val="left" w:pos="3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2. </w:t>
            </w:r>
            <w:r>
              <w:rPr>
                <w:rFonts w:ascii="Times New Roman" w:hAnsi="Times New Roman" w:eastAsia="Times New Roman" w:cs="Times New Roman"/>
                <w:sz w:val="24"/>
                <w:szCs w:val="24"/>
                <w:lang w:val="uk-UA" w:eastAsia="ru-RU"/>
              </w:rPr>
              <w:t>Підписання договорів про проходження практики і складання рапорту про бази практик студентів</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tcBorders>
              <w:top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vAlign w:val="center"/>
          </w:tcPr>
          <w:p>
            <w:pPr>
              <w:tabs>
                <w:tab w:val="left" w:pos="284"/>
                <w:tab w:val="left" w:pos="567"/>
              </w:tabs>
              <w:spacing w:after="0" w:line="240" w:lineRule="auto"/>
              <w:ind w:firstLine="34"/>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3. </w:t>
            </w:r>
            <w:r>
              <w:rPr>
                <w:rFonts w:ascii="Times New Roman" w:hAnsi="Times New Roman" w:eastAsia="Times New Roman" w:cs="Times New Roman"/>
                <w:sz w:val="24"/>
                <w:szCs w:val="24"/>
                <w:lang w:val="uk-UA" w:eastAsia="ru-RU"/>
              </w:rPr>
              <w:t>Інструктаж з правил безпечної поведінки під час проходження виробничої практики у фінансово-кредитних установах</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tcBorders>
              <w:top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sz w:val="24"/>
                <w:szCs w:val="24"/>
                <w:lang w:val="uk-UA" w:eastAsia="ru-RU"/>
              </w:rPr>
              <w:t xml:space="preserve">Кредит 4. </w:t>
            </w:r>
            <w:r>
              <w:rPr>
                <w:rFonts w:ascii="Times New Roman" w:hAnsi="Times New Roman" w:eastAsia="Times New Roman" w:cs="Times New Roman"/>
                <w:sz w:val="24"/>
                <w:szCs w:val="24"/>
                <w:lang w:val="uk-UA" w:eastAsia="ru-RU"/>
              </w:rPr>
              <w:t>Знайомство з базою практики</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5. </w:t>
            </w:r>
            <w:r>
              <w:rPr>
                <w:rFonts w:ascii="Times New Roman" w:hAnsi="Times New Roman" w:eastAsia="Times New Roman" w:cs="Times New Roman"/>
                <w:sz w:val="24"/>
                <w:szCs w:val="24"/>
                <w:lang w:val="uk-UA" w:eastAsia="ru-RU"/>
              </w:rPr>
              <w:t>П</w:t>
            </w:r>
            <w:r>
              <w:rPr>
                <w:rFonts w:ascii="Times New Roman" w:hAnsi="Times New Roman" w:eastAsia="Times New Roman" w:cs="Times New Roman"/>
                <w:sz w:val="24"/>
                <w:szCs w:val="24"/>
                <w:lang w:val="uk-UA" w:eastAsia="uk-UA"/>
              </w:rPr>
              <w:t xml:space="preserve">ідбір та узагальнення необхідних даних (економічних, фінансових, бухгалтерських). </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6. </w:t>
            </w:r>
            <w:r>
              <w:rPr>
                <w:rFonts w:ascii="Times New Roman" w:hAnsi="Times New Roman" w:eastAsia="Times New Roman" w:cs="Times New Roman"/>
                <w:sz w:val="24"/>
                <w:szCs w:val="24"/>
                <w:lang w:val="uk-UA" w:eastAsia="ru-RU"/>
              </w:rPr>
              <w:t>Виконання посадових обов’язків практиканта відповідно до поставлених завдань</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7. </w:t>
            </w:r>
            <w:r>
              <w:rPr>
                <w:rFonts w:ascii="Times New Roman" w:hAnsi="Times New Roman" w:eastAsia="Times New Roman" w:cs="Times New Roman"/>
                <w:sz w:val="24"/>
                <w:szCs w:val="24"/>
                <w:lang w:val="uk-UA" w:eastAsia="ru-RU"/>
              </w:rPr>
              <w:t>Консультування студентів та контроль за проходженням практики</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p>
        </w:tc>
        <w:tc>
          <w:tcPr>
            <w:tcW w:w="476" w:type="pc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8. </w:t>
            </w:r>
            <w:r>
              <w:rPr>
                <w:rFonts w:ascii="Times New Roman" w:hAnsi="Times New Roman" w:eastAsia="Times New Roman" w:cs="Times New Roman"/>
                <w:sz w:val="24"/>
                <w:szCs w:val="24"/>
                <w:lang w:val="uk-UA" w:eastAsia="uk-UA"/>
              </w:rPr>
              <w:t>Оброблення та аналіз одержаної інформації, формування Звіту про практику, підписання всіх необхідних документів</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w:t>
            </w:r>
          </w:p>
        </w:tc>
        <w:tc>
          <w:tcPr>
            <w:tcW w:w="476" w:type="pc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9. </w:t>
            </w:r>
            <w:r>
              <w:rPr>
                <w:rFonts w:ascii="Times New Roman" w:hAnsi="Times New Roman" w:eastAsia="Times New Roman" w:cs="Times New Roman"/>
                <w:sz w:val="24"/>
                <w:szCs w:val="24"/>
                <w:lang w:val="uk-UA" w:eastAsia="ru-RU"/>
              </w:rPr>
              <w:t>Захист Звітів про виробничу практику у фінансово-кредитних установах</w:t>
            </w:r>
          </w:p>
        </w:tc>
        <w:tc>
          <w:tcPr>
            <w:tcW w:w="512" w:type="pct"/>
            <w:shd w:val="clear" w:color="auto" w:fill="auto"/>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c>
          <w:tcPr>
            <w:tcW w:w="510"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p>
        </w:tc>
        <w:tc>
          <w:tcPr>
            <w:tcW w:w="476" w:type="pct"/>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2" w:type="pct"/>
          </w:tcPr>
          <w:p>
            <w:pPr>
              <w:spacing w:after="0" w:line="240" w:lineRule="auto"/>
              <w:ind w:firstLine="34"/>
              <w:jc w:val="right"/>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Усього годин</w:t>
            </w:r>
          </w:p>
        </w:tc>
        <w:tc>
          <w:tcPr>
            <w:tcW w:w="512" w:type="pct"/>
            <w:shd w:val="clear" w:color="auto" w:fill="auto"/>
            <w:vAlign w:val="center"/>
          </w:tcPr>
          <w:p>
            <w:pPr>
              <w:spacing w:after="0" w:line="240" w:lineRule="auto"/>
              <w:ind w:right="-57"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180</w:t>
            </w:r>
          </w:p>
        </w:tc>
        <w:tc>
          <w:tcPr>
            <w:tcW w:w="510" w:type="pct"/>
            <w:shd w:val="clear" w:color="auto" w:fill="auto"/>
            <w:vAlign w:val="center"/>
          </w:tcPr>
          <w:p>
            <w:pPr>
              <w:spacing w:after="0" w:line="240" w:lineRule="auto"/>
              <w:ind w:right="-57"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6</w:t>
            </w:r>
          </w:p>
        </w:tc>
        <w:tc>
          <w:tcPr>
            <w:tcW w:w="476" w:type="pct"/>
            <w:vAlign w:val="center"/>
          </w:tcPr>
          <w:p>
            <w:pPr>
              <w:spacing w:after="0" w:line="240" w:lineRule="auto"/>
              <w:ind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174</w:t>
            </w:r>
          </w:p>
        </w:tc>
      </w:tr>
    </w:tbl>
    <w:p>
      <w:pPr>
        <w:tabs>
          <w:tab w:val="left" w:pos="1418"/>
        </w:tabs>
        <w:spacing w:after="0" w:line="240" w:lineRule="auto"/>
        <w:rPr>
          <w:rFonts w:ascii="Times New Roman" w:hAnsi="Times New Roman" w:cs="Times New Roman"/>
          <w:sz w:val="28"/>
          <w:szCs w:val="28"/>
          <w:highlight w:val="green"/>
          <w:lang w:val="uk-UA"/>
        </w:rPr>
      </w:pP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4</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b/>
          <w:sz w:val="24"/>
          <w:szCs w:val="24"/>
          <w:lang w:val="uk-UA" w:eastAsia="ru-RU"/>
        </w:rPr>
        <w:t>Години консультування</w:t>
      </w:r>
      <w:r>
        <w:rPr>
          <w:rFonts w:ascii="Times New Roman" w:hAnsi="Times New Roman" w:eastAsia="Times New Roman" w:cs="Times New Roman"/>
          <w:b/>
          <w:sz w:val="24"/>
          <w:szCs w:val="24"/>
          <w:lang w:eastAsia="ru-RU"/>
        </w:rPr>
        <w:t xml:space="preserve"> </w:t>
      </w: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Денна форма навчання</w:t>
      </w:r>
    </w:p>
    <w:tbl>
      <w:tblPr>
        <w:tblStyle w:val="12"/>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Назва кредиту</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vAlign w:val="center"/>
          </w:tcPr>
          <w:p>
            <w:pPr>
              <w:tabs>
                <w:tab w:val="left" w:pos="28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1. </w:t>
            </w:r>
            <w:r>
              <w:rPr>
                <w:rFonts w:ascii="Times New Roman" w:hAnsi="Times New Roman" w:eastAsia="Times New Roman" w:cs="Times New Roman"/>
                <w:sz w:val="24"/>
                <w:szCs w:val="24"/>
                <w:lang w:val="uk-UA" w:eastAsia="ru-RU"/>
              </w:rPr>
              <w:t>Ознайомлення з завданнями і метою виробничої практики у фінансово-кредитних установах</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vAlign w:val="center"/>
          </w:tcPr>
          <w:p>
            <w:pPr>
              <w:tabs>
                <w:tab w:val="left" w:pos="0"/>
                <w:tab w:val="left" w:pos="3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2. </w:t>
            </w:r>
            <w:r>
              <w:rPr>
                <w:rFonts w:ascii="Times New Roman" w:hAnsi="Times New Roman" w:eastAsia="Times New Roman" w:cs="Times New Roman"/>
                <w:sz w:val="24"/>
                <w:szCs w:val="24"/>
                <w:lang w:val="uk-UA" w:eastAsia="ru-RU"/>
              </w:rPr>
              <w:t>Підписання договорів про проходження практики і складання рапорту про бази практик студентів</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vAlign w:val="center"/>
          </w:tcPr>
          <w:p>
            <w:pPr>
              <w:tabs>
                <w:tab w:val="left" w:pos="284"/>
                <w:tab w:val="left" w:pos="567"/>
              </w:tabs>
              <w:spacing w:after="0" w:line="240" w:lineRule="auto"/>
              <w:ind w:firstLine="34"/>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3. </w:t>
            </w:r>
            <w:r>
              <w:rPr>
                <w:rFonts w:ascii="Times New Roman" w:hAnsi="Times New Roman" w:eastAsia="Times New Roman" w:cs="Times New Roman"/>
                <w:sz w:val="24"/>
                <w:szCs w:val="24"/>
                <w:lang w:val="uk-UA" w:eastAsia="ru-RU"/>
              </w:rPr>
              <w:t>Інструктаж з правил безпечної поведінки під час проходження виробничої практики у фінансово-кредитних установах</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7. </w:t>
            </w:r>
            <w:r>
              <w:rPr>
                <w:rFonts w:ascii="Times New Roman" w:hAnsi="Times New Roman" w:eastAsia="Times New Roman" w:cs="Times New Roman"/>
                <w:sz w:val="24"/>
                <w:szCs w:val="24"/>
                <w:lang w:val="uk-UA" w:eastAsia="ru-RU"/>
              </w:rPr>
              <w:t>Консультування студентів та контроль за проходженням практики</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9. </w:t>
            </w:r>
            <w:r>
              <w:rPr>
                <w:rFonts w:ascii="Times New Roman" w:hAnsi="Times New Roman" w:eastAsia="Times New Roman" w:cs="Times New Roman"/>
                <w:sz w:val="24"/>
                <w:szCs w:val="24"/>
                <w:lang w:val="uk-UA" w:eastAsia="ru-RU"/>
              </w:rPr>
              <w:t>Захист Звітів про виробничу практику у фінансово-кредитних установах</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tcPr>
          <w:p>
            <w:pPr>
              <w:spacing w:after="0" w:line="240" w:lineRule="auto"/>
              <w:ind w:left="176" w:right="-737"/>
              <w:jc w:val="right"/>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Разом</w:t>
            </w:r>
          </w:p>
        </w:tc>
        <w:tc>
          <w:tcPr>
            <w:tcW w:w="1701" w:type="dxa"/>
            <w:vAlign w:val="center"/>
          </w:tcPr>
          <w:p>
            <w:pPr>
              <w:spacing w:after="0" w:line="240" w:lineRule="auto"/>
              <w:ind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24</w:t>
            </w:r>
          </w:p>
        </w:tc>
      </w:tr>
    </w:tbl>
    <w:p>
      <w:pPr>
        <w:tabs>
          <w:tab w:val="left" w:pos="1418"/>
        </w:tabs>
        <w:spacing w:after="0" w:line="240" w:lineRule="auto"/>
        <w:jc w:val="center"/>
        <w:rPr>
          <w:rFonts w:ascii="Times New Roman" w:hAnsi="Times New Roman" w:cs="Times New Roman"/>
          <w:b/>
          <w:sz w:val="28"/>
          <w:szCs w:val="28"/>
          <w:lang w:val="uk-UA"/>
        </w:rPr>
      </w:pP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Заочна форма навчання</w:t>
      </w:r>
    </w:p>
    <w:tbl>
      <w:tblPr>
        <w:tblStyle w:val="12"/>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Назва кредиту</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vAlign w:val="center"/>
          </w:tcPr>
          <w:p>
            <w:pPr>
              <w:tabs>
                <w:tab w:val="left" w:pos="28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1. </w:t>
            </w:r>
            <w:r>
              <w:rPr>
                <w:rFonts w:ascii="Times New Roman" w:hAnsi="Times New Roman" w:eastAsia="Times New Roman" w:cs="Times New Roman"/>
                <w:sz w:val="24"/>
                <w:szCs w:val="24"/>
                <w:lang w:val="uk-UA" w:eastAsia="ru-RU"/>
              </w:rPr>
              <w:t>Ознайомлення з завданнями і метою виробничої практики у фінансово-кредитних установах</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7. </w:t>
            </w:r>
            <w:r>
              <w:rPr>
                <w:rFonts w:ascii="Times New Roman" w:hAnsi="Times New Roman" w:eastAsia="Times New Roman" w:cs="Times New Roman"/>
                <w:sz w:val="24"/>
                <w:szCs w:val="24"/>
                <w:lang w:val="uk-UA" w:eastAsia="ru-RU"/>
              </w:rPr>
              <w:t>Консультування студентів та контроль за проходженням практики</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9. </w:t>
            </w:r>
            <w:r>
              <w:rPr>
                <w:rFonts w:ascii="Times New Roman" w:hAnsi="Times New Roman" w:eastAsia="Times New Roman" w:cs="Times New Roman"/>
                <w:sz w:val="24"/>
                <w:szCs w:val="24"/>
                <w:lang w:val="uk-UA" w:eastAsia="ru-RU"/>
              </w:rPr>
              <w:t>Захист Звітів про виробничу практику у фінансово-кредитних установах</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tcPr>
          <w:p>
            <w:pPr>
              <w:spacing w:after="0" w:line="240" w:lineRule="auto"/>
              <w:ind w:left="176" w:right="-737"/>
              <w:jc w:val="right"/>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Разом</w:t>
            </w:r>
          </w:p>
        </w:tc>
        <w:tc>
          <w:tcPr>
            <w:tcW w:w="1701" w:type="dxa"/>
            <w:vAlign w:val="center"/>
          </w:tcPr>
          <w:p>
            <w:pPr>
              <w:spacing w:after="0" w:line="240" w:lineRule="auto"/>
              <w:ind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6</w:t>
            </w:r>
          </w:p>
        </w:tc>
      </w:tr>
    </w:tbl>
    <w:p>
      <w:pPr>
        <w:tabs>
          <w:tab w:val="left" w:pos="1418"/>
        </w:tabs>
        <w:spacing w:after="0" w:line="240" w:lineRule="auto"/>
        <w:jc w:val="center"/>
        <w:rPr>
          <w:rFonts w:ascii="Times New Roman" w:hAnsi="Times New Roman" w:cs="Times New Roman"/>
          <w:b/>
          <w:sz w:val="28"/>
          <w:szCs w:val="28"/>
          <w:lang w:val="uk-UA"/>
        </w:rPr>
      </w:pP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5</w:t>
      </w:r>
      <w:r>
        <w:rPr>
          <w:rFonts w:ascii="Times New Roman" w:hAnsi="Times New Roman" w:eastAsia="Times New Roman" w:cs="Times New Roman"/>
          <w:b/>
          <w:sz w:val="24"/>
          <w:szCs w:val="24"/>
          <w:lang w:eastAsia="ru-RU"/>
        </w:rPr>
        <w:t xml:space="preserve">. Теми </w:t>
      </w:r>
      <w:r>
        <w:rPr>
          <w:rFonts w:ascii="Times New Roman" w:hAnsi="Times New Roman" w:eastAsia="Times New Roman" w:cs="Times New Roman"/>
          <w:b/>
          <w:sz w:val="24"/>
          <w:szCs w:val="24"/>
          <w:lang w:val="uk-UA" w:eastAsia="ru-RU"/>
        </w:rPr>
        <w:t>практичних занять</w:t>
      </w: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i/>
          <w:sz w:val="24"/>
          <w:szCs w:val="24"/>
          <w:lang w:val="uk-UA" w:eastAsia="ru-RU"/>
        </w:rPr>
        <w:t>Не передбачено навчальним планом</w:t>
      </w:r>
    </w:p>
    <w:p>
      <w:pPr>
        <w:spacing w:after="0" w:line="240" w:lineRule="auto"/>
        <w:ind w:firstLine="567"/>
        <w:jc w:val="center"/>
        <w:rPr>
          <w:rFonts w:ascii="Times New Roman" w:hAnsi="Times New Roman" w:eastAsia="Times New Roman" w:cs="Times New Roman"/>
          <w:b/>
          <w:sz w:val="24"/>
          <w:szCs w:val="24"/>
          <w:lang w:eastAsia="ru-RU"/>
        </w:rPr>
      </w:pPr>
    </w:p>
    <w:p>
      <w:pPr>
        <w:pStyle w:val="44"/>
        <w:numPr>
          <w:ilvl w:val="3"/>
          <w:numId w:val="8"/>
        </w:numPr>
        <w:tabs>
          <w:tab w:val="clear" w:pos="3240"/>
        </w:tabs>
        <w:spacing w:after="0" w:line="240" w:lineRule="auto"/>
        <w:ind w:left="284" w:firstLine="0"/>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Лабораторні заняття</w:t>
      </w:r>
    </w:p>
    <w:p>
      <w:pPr>
        <w:spacing w:after="0" w:line="240" w:lineRule="auto"/>
        <w:ind w:firstLine="567"/>
        <w:jc w:val="center"/>
        <w:rPr>
          <w:rFonts w:ascii="Times New Roman" w:hAnsi="Times New Roman" w:eastAsia="Times New Roman" w:cs="Times New Roman"/>
          <w:b/>
          <w:i/>
          <w:sz w:val="24"/>
          <w:szCs w:val="24"/>
          <w:lang w:val="uk-UA" w:eastAsia="ru-RU"/>
        </w:rPr>
      </w:pPr>
      <w:r>
        <w:rPr>
          <w:rFonts w:ascii="Times New Roman" w:hAnsi="Times New Roman" w:eastAsia="Times New Roman" w:cs="Times New Roman"/>
          <w:b/>
          <w:i/>
          <w:sz w:val="24"/>
          <w:szCs w:val="24"/>
          <w:lang w:val="uk-UA" w:eastAsia="ru-RU"/>
        </w:rPr>
        <w:t>Не передбачено навчальним планом</w:t>
      </w: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7. Самостійна</w:t>
      </w:r>
      <w:r>
        <w:rPr>
          <w:rFonts w:ascii="Times New Roman" w:hAnsi="Times New Roman" w:eastAsia="Times New Roman" w:cs="Times New Roman"/>
          <w:b/>
          <w:sz w:val="24"/>
          <w:szCs w:val="24"/>
          <w:lang w:eastAsia="ru-RU"/>
        </w:rPr>
        <w:t xml:space="preserve"> робота</w:t>
      </w: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Денна форма навчання</w:t>
      </w:r>
    </w:p>
    <w:tbl>
      <w:tblPr>
        <w:tblStyle w:val="12"/>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37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з/п</w:t>
            </w:r>
          </w:p>
        </w:tc>
        <w:tc>
          <w:tcPr>
            <w:tcW w:w="737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Назва кредиту</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w:t>
            </w:r>
          </w:p>
        </w:tc>
        <w:tc>
          <w:tcPr>
            <w:tcW w:w="7371" w:type="dxa"/>
            <w:vAlign w:val="center"/>
          </w:tcPr>
          <w:p>
            <w:pPr>
              <w:tabs>
                <w:tab w:val="left" w:pos="28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1. </w:t>
            </w:r>
            <w:r>
              <w:rPr>
                <w:rFonts w:ascii="Times New Roman" w:hAnsi="Times New Roman" w:eastAsia="Times New Roman" w:cs="Times New Roman"/>
                <w:sz w:val="24"/>
                <w:szCs w:val="24"/>
                <w:lang w:val="uk-UA" w:eastAsia="ru-RU"/>
              </w:rPr>
              <w:t>Ознайомлення з завданнями і метою виробничої практики у фінансово-кредитних установах</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p>
        </w:tc>
        <w:tc>
          <w:tcPr>
            <w:tcW w:w="7371" w:type="dxa"/>
            <w:vAlign w:val="center"/>
          </w:tcPr>
          <w:p>
            <w:pPr>
              <w:tabs>
                <w:tab w:val="left" w:pos="0"/>
                <w:tab w:val="left" w:pos="3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2. </w:t>
            </w:r>
            <w:r>
              <w:rPr>
                <w:rFonts w:ascii="Times New Roman" w:hAnsi="Times New Roman" w:eastAsia="Times New Roman" w:cs="Times New Roman"/>
                <w:sz w:val="24"/>
                <w:szCs w:val="24"/>
                <w:lang w:val="uk-UA" w:eastAsia="ru-RU"/>
              </w:rPr>
              <w:t>Підписання договорів про проходження практики і складання рапорту про бази практик студентів</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w:t>
            </w:r>
          </w:p>
        </w:tc>
        <w:tc>
          <w:tcPr>
            <w:tcW w:w="7371" w:type="dxa"/>
            <w:vAlign w:val="center"/>
          </w:tcPr>
          <w:p>
            <w:pPr>
              <w:tabs>
                <w:tab w:val="left" w:pos="284"/>
                <w:tab w:val="left" w:pos="567"/>
              </w:tabs>
              <w:spacing w:after="0" w:line="240" w:lineRule="auto"/>
              <w:ind w:firstLine="34"/>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3. </w:t>
            </w:r>
            <w:r>
              <w:rPr>
                <w:rFonts w:ascii="Times New Roman" w:hAnsi="Times New Roman" w:eastAsia="Times New Roman" w:cs="Times New Roman"/>
                <w:sz w:val="24"/>
                <w:szCs w:val="24"/>
                <w:lang w:val="uk-UA" w:eastAsia="ru-RU"/>
              </w:rPr>
              <w:t>Інструктаж з правил безпечної поведінки під час проходження виробничої практики у фінансово-кредитних установах</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sz w:val="24"/>
                <w:szCs w:val="24"/>
                <w:lang w:val="uk-UA" w:eastAsia="ru-RU"/>
              </w:rPr>
              <w:t xml:space="preserve">Кредит 4. </w:t>
            </w:r>
            <w:r>
              <w:rPr>
                <w:rFonts w:ascii="Times New Roman" w:hAnsi="Times New Roman" w:eastAsia="Times New Roman" w:cs="Times New Roman"/>
                <w:sz w:val="24"/>
                <w:szCs w:val="24"/>
                <w:lang w:val="uk-UA" w:eastAsia="ru-RU"/>
              </w:rPr>
              <w:t>Знайомство з базою практики</w:t>
            </w:r>
          </w:p>
        </w:tc>
        <w:tc>
          <w:tcPr>
            <w:tcW w:w="1701" w:type="dxa"/>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5. </w:t>
            </w:r>
            <w:r>
              <w:rPr>
                <w:rFonts w:ascii="Times New Roman" w:hAnsi="Times New Roman" w:eastAsia="Times New Roman" w:cs="Times New Roman"/>
                <w:sz w:val="24"/>
                <w:szCs w:val="24"/>
                <w:lang w:val="uk-UA" w:eastAsia="ru-RU"/>
              </w:rPr>
              <w:t>П</w:t>
            </w:r>
            <w:r>
              <w:rPr>
                <w:rFonts w:ascii="Times New Roman" w:hAnsi="Times New Roman" w:eastAsia="Times New Roman" w:cs="Times New Roman"/>
                <w:sz w:val="24"/>
                <w:szCs w:val="24"/>
                <w:lang w:val="uk-UA" w:eastAsia="uk-UA"/>
              </w:rPr>
              <w:t xml:space="preserve">ідбір та узагальнення необхідних даних (економічних, фінансових, бухгалтерських). </w:t>
            </w:r>
          </w:p>
        </w:tc>
        <w:tc>
          <w:tcPr>
            <w:tcW w:w="1701" w:type="dxa"/>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6</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6. </w:t>
            </w:r>
            <w:r>
              <w:rPr>
                <w:rFonts w:ascii="Times New Roman" w:hAnsi="Times New Roman" w:eastAsia="Times New Roman" w:cs="Times New Roman"/>
                <w:sz w:val="24"/>
                <w:szCs w:val="24"/>
                <w:lang w:val="uk-UA" w:eastAsia="ru-RU"/>
              </w:rPr>
              <w:t>Виконання посадових обов’язків практиканта відповідно до поставлених завдань</w:t>
            </w:r>
          </w:p>
        </w:tc>
        <w:tc>
          <w:tcPr>
            <w:tcW w:w="1701" w:type="dxa"/>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7</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7. </w:t>
            </w:r>
            <w:r>
              <w:rPr>
                <w:rFonts w:ascii="Times New Roman" w:hAnsi="Times New Roman" w:eastAsia="Times New Roman" w:cs="Times New Roman"/>
                <w:sz w:val="24"/>
                <w:szCs w:val="24"/>
                <w:lang w:val="uk-UA" w:eastAsia="ru-RU"/>
              </w:rPr>
              <w:t>Консультування студентів та контроль за проходженням практики</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8. </w:t>
            </w:r>
            <w:r>
              <w:rPr>
                <w:rFonts w:ascii="Times New Roman" w:hAnsi="Times New Roman" w:eastAsia="Times New Roman" w:cs="Times New Roman"/>
                <w:sz w:val="24"/>
                <w:szCs w:val="24"/>
                <w:lang w:val="uk-UA" w:eastAsia="uk-UA"/>
              </w:rPr>
              <w:t>Оброблення та аналіз одержаної інформації, формування Звіту про практику, підписання всіх необхідних документів</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9</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9. </w:t>
            </w:r>
            <w:r>
              <w:rPr>
                <w:rFonts w:ascii="Times New Roman" w:hAnsi="Times New Roman" w:eastAsia="Times New Roman" w:cs="Times New Roman"/>
                <w:sz w:val="24"/>
                <w:szCs w:val="24"/>
                <w:lang w:val="uk-UA" w:eastAsia="ru-RU"/>
              </w:rPr>
              <w:t>Захист Звітів про виробничу практику у фінансово-кредитних установах</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8" w:type="dxa"/>
            <w:gridSpan w:val="2"/>
          </w:tcPr>
          <w:p>
            <w:pPr>
              <w:spacing w:after="0" w:line="240" w:lineRule="auto"/>
              <w:ind w:firstLine="34"/>
              <w:jc w:val="right"/>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Разом</w:t>
            </w:r>
          </w:p>
        </w:tc>
        <w:tc>
          <w:tcPr>
            <w:tcW w:w="1701" w:type="dxa"/>
            <w:vAlign w:val="center"/>
          </w:tcPr>
          <w:p>
            <w:pPr>
              <w:spacing w:after="0" w:line="240" w:lineRule="auto"/>
              <w:ind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156</w:t>
            </w:r>
          </w:p>
        </w:tc>
      </w:tr>
    </w:tbl>
    <w:p>
      <w:pPr>
        <w:tabs>
          <w:tab w:val="left" w:pos="1418"/>
        </w:tabs>
        <w:spacing w:after="0" w:line="240" w:lineRule="auto"/>
        <w:jc w:val="center"/>
        <w:rPr>
          <w:rFonts w:ascii="Times New Roman" w:hAnsi="Times New Roman" w:cs="Times New Roman"/>
          <w:b/>
          <w:sz w:val="28"/>
          <w:szCs w:val="28"/>
          <w:lang w:val="uk-UA"/>
        </w:rPr>
      </w:pP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Заочна форма навчання</w:t>
      </w:r>
    </w:p>
    <w:tbl>
      <w:tblPr>
        <w:tblStyle w:val="12"/>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37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з/п</w:t>
            </w:r>
          </w:p>
        </w:tc>
        <w:tc>
          <w:tcPr>
            <w:tcW w:w="737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Назва кредиту</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w:t>
            </w:r>
          </w:p>
        </w:tc>
        <w:tc>
          <w:tcPr>
            <w:tcW w:w="7371" w:type="dxa"/>
            <w:vAlign w:val="center"/>
          </w:tcPr>
          <w:p>
            <w:pPr>
              <w:tabs>
                <w:tab w:val="left" w:pos="28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1. </w:t>
            </w:r>
            <w:r>
              <w:rPr>
                <w:rFonts w:ascii="Times New Roman" w:hAnsi="Times New Roman" w:eastAsia="Times New Roman" w:cs="Times New Roman"/>
                <w:sz w:val="24"/>
                <w:szCs w:val="24"/>
                <w:lang w:val="uk-UA" w:eastAsia="ru-RU"/>
              </w:rPr>
              <w:t>Ознайомлення з завданнями і метою виробничої практики у фінансово-кредитних установах</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p>
        </w:tc>
        <w:tc>
          <w:tcPr>
            <w:tcW w:w="7371" w:type="dxa"/>
            <w:vAlign w:val="center"/>
          </w:tcPr>
          <w:p>
            <w:pPr>
              <w:tabs>
                <w:tab w:val="left" w:pos="0"/>
                <w:tab w:val="left" w:pos="34"/>
                <w:tab w:val="left" w:pos="567"/>
              </w:tabs>
              <w:spacing w:after="0" w:line="240" w:lineRule="auto"/>
              <w:ind w:firstLine="34"/>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2. </w:t>
            </w:r>
            <w:r>
              <w:rPr>
                <w:rFonts w:ascii="Times New Roman" w:hAnsi="Times New Roman" w:eastAsia="Times New Roman" w:cs="Times New Roman"/>
                <w:sz w:val="24"/>
                <w:szCs w:val="24"/>
                <w:lang w:val="uk-UA" w:eastAsia="ru-RU"/>
              </w:rPr>
              <w:t>Підписання договорів про проходження практики і складання рапорту про бази практик студентів</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w:t>
            </w:r>
          </w:p>
        </w:tc>
        <w:tc>
          <w:tcPr>
            <w:tcW w:w="7371" w:type="dxa"/>
            <w:vAlign w:val="center"/>
          </w:tcPr>
          <w:p>
            <w:pPr>
              <w:tabs>
                <w:tab w:val="left" w:pos="284"/>
                <w:tab w:val="left" w:pos="567"/>
              </w:tabs>
              <w:spacing w:after="0" w:line="240" w:lineRule="auto"/>
              <w:ind w:firstLine="34"/>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3. </w:t>
            </w:r>
            <w:r>
              <w:rPr>
                <w:rFonts w:ascii="Times New Roman" w:hAnsi="Times New Roman" w:eastAsia="Times New Roman" w:cs="Times New Roman"/>
                <w:sz w:val="24"/>
                <w:szCs w:val="24"/>
                <w:lang w:val="uk-UA" w:eastAsia="ru-RU"/>
              </w:rPr>
              <w:t>Інструктаж з правил безпечної поведінки під час проходження виробничої практики у фінансово-кредитних установах</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sz w:val="24"/>
                <w:szCs w:val="24"/>
                <w:lang w:val="uk-UA" w:eastAsia="ru-RU"/>
              </w:rPr>
              <w:t xml:space="preserve">Кредит 4. </w:t>
            </w:r>
            <w:r>
              <w:rPr>
                <w:rFonts w:ascii="Times New Roman" w:hAnsi="Times New Roman" w:eastAsia="Times New Roman" w:cs="Times New Roman"/>
                <w:sz w:val="24"/>
                <w:szCs w:val="24"/>
                <w:lang w:val="uk-UA" w:eastAsia="ru-RU"/>
              </w:rPr>
              <w:t>Знайомство з базою практики</w:t>
            </w:r>
          </w:p>
        </w:tc>
        <w:tc>
          <w:tcPr>
            <w:tcW w:w="1701" w:type="dxa"/>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5. </w:t>
            </w:r>
            <w:r>
              <w:rPr>
                <w:rFonts w:ascii="Times New Roman" w:hAnsi="Times New Roman" w:eastAsia="Times New Roman" w:cs="Times New Roman"/>
                <w:sz w:val="24"/>
                <w:szCs w:val="24"/>
                <w:lang w:val="uk-UA" w:eastAsia="ru-RU"/>
              </w:rPr>
              <w:t>П</w:t>
            </w:r>
            <w:r>
              <w:rPr>
                <w:rFonts w:ascii="Times New Roman" w:hAnsi="Times New Roman" w:eastAsia="Times New Roman" w:cs="Times New Roman"/>
                <w:sz w:val="24"/>
                <w:szCs w:val="24"/>
                <w:lang w:val="uk-UA" w:eastAsia="uk-UA"/>
              </w:rPr>
              <w:t xml:space="preserve">ідбір та узагальнення необхідних даних (економічних, фінансових, бухгалтерських). </w:t>
            </w:r>
          </w:p>
        </w:tc>
        <w:tc>
          <w:tcPr>
            <w:tcW w:w="1701" w:type="dxa"/>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6</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6. </w:t>
            </w:r>
            <w:r>
              <w:rPr>
                <w:rFonts w:ascii="Times New Roman" w:hAnsi="Times New Roman" w:eastAsia="Times New Roman" w:cs="Times New Roman"/>
                <w:sz w:val="24"/>
                <w:szCs w:val="24"/>
                <w:lang w:val="uk-UA" w:eastAsia="ru-RU"/>
              </w:rPr>
              <w:t>Виконання посадових обов’язків практиканта відповідно до поставлених завдань</w:t>
            </w:r>
          </w:p>
        </w:tc>
        <w:tc>
          <w:tcPr>
            <w:tcW w:w="1701" w:type="dxa"/>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7</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7. </w:t>
            </w:r>
            <w:r>
              <w:rPr>
                <w:rFonts w:ascii="Times New Roman" w:hAnsi="Times New Roman" w:eastAsia="Times New Roman" w:cs="Times New Roman"/>
                <w:sz w:val="24"/>
                <w:szCs w:val="24"/>
                <w:lang w:val="uk-UA" w:eastAsia="ru-RU"/>
              </w:rPr>
              <w:t>Консультування студентів та контроль за проходженням практики</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8. </w:t>
            </w:r>
            <w:r>
              <w:rPr>
                <w:rFonts w:ascii="Times New Roman" w:hAnsi="Times New Roman" w:eastAsia="Times New Roman" w:cs="Times New Roman"/>
                <w:sz w:val="24"/>
                <w:szCs w:val="24"/>
                <w:lang w:val="uk-UA" w:eastAsia="uk-UA"/>
              </w:rPr>
              <w:t>Оброблення та аналіз одержаної інформації, формування Звіту про практику, підписання всіх необхідних документів</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9</w:t>
            </w:r>
          </w:p>
        </w:tc>
        <w:tc>
          <w:tcPr>
            <w:tcW w:w="7371" w:type="dxa"/>
          </w:tcPr>
          <w:p>
            <w:pPr>
              <w:tabs>
                <w:tab w:val="left" w:pos="284"/>
                <w:tab w:val="left" w:pos="567"/>
              </w:tabs>
              <w:spacing w:after="0" w:line="240" w:lineRule="auto"/>
              <w:ind w:firstLine="34"/>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sz w:val="24"/>
                <w:szCs w:val="24"/>
                <w:lang w:val="uk-UA" w:eastAsia="ru-RU"/>
              </w:rPr>
              <w:t xml:space="preserve">Кредит 9. </w:t>
            </w:r>
            <w:r>
              <w:rPr>
                <w:rFonts w:ascii="Times New Roman" w:hAnsi="Times New Roman" w:eastAsia="Times New Roman" w:cs="Times New Roman"/>
                <w:sz w:val="24"/>
                <w:szCs w:val="24"/>
                <w:lang w:val="uk-UA" w:eastAsia="ru-RU"/>
              </w:rPr>
              <w:t>Захист Звітів про виробничу практику у фінансово-кредитних установах</w:t>
            </w:r>
          </w:p>
        </w:tc>
        <w:tc>
          <w:tcPr>
            <w:tcW w:w="1701" w:type="dxa"/>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8" w:type="dxa"/>
            <w:gridSpan w:val="2"/>
          </w:tcPr>
          <w:p>
            <w:pPr>
              <w:spacing w:after="0" w:line="240" w:lineRule="auto"/>
              <w:ind w:firstLine="34"/>
              <w:jc w:val="right"/>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Разом</w:t>
            </w:r>
          </w:p>
        </w:tc>
        <w:tc>
          <w:tcPr>
            <w:tcW w:w="1701" w:type="dxa"/>
            <w:vAlign w:val="center"/>
          </w:tcPr>
          <w:p>
            <w:pPr>
              <w:spacing w:after="0" w:line="240" w:lineRule="auto"/>
              <w:ind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174</w:t>
            </w:r>
          </w:p>
        </w:tc>
      </w:tr>
    </w:tbl>
    <w:p>
      <w:pPr>
        <w:pStyle w:val="44"/>
        <w:keepNext/>
        <w:jc w:val="center"/>
        <w:rPr>
          <w:rFonts w:ascii="Times New Roman" w:hAnsi="Times New Roman" w:cs="Times New Roman"/>
          <w:b/>
          <w:bCs/>
          <w:caps/>
          <w:sz w:val="24"/>
          <w:szCs w:val="24"/>
          <w:lang w:eastAsia="ru-RU"/>
        </w:rPr>
      </w:pPr>
    </w:p>
    <w:p>
      <w:pPr>
        <w:pStyle w:val="44"/>
        <w:keepNext/>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val="uk-UA" w:eastAsia="ru-RU"/>
        </w:rPr>
        <w:t>8</w:t>
      </w:r>
      <w:r>
        <w:rPr>
          <w:rFonts w:ascii="Times New Roman" w:hAnsi="Times New Roman" w:cs="Times New Roman"/>
          <w:b/>
          <w:bCs/>
          <w:caps/>
          <w:sz w:val="24"/>
          <w:szCs w:val="24"/>
          <w:lang w:eastAsia="ru-RU"/>
        </w:rPr>
        <w:t xml:space="preserve">. </w:t>
      </w:r>
      <w:r>
        <w:rPr>
          <w:rFonts w:ascii="Times New Roman" w:hAnsi="Times New Roman" w:cs="Times New Roman"/>
          <w:b/>
          <w:bCs/>
          <w:sz w:val="24"/>
          <w:szCs w:val="24"/>
          <w:lang w:eastAsia="ru-RU"/>
        </w:rPr>
        <w:t>Індивідуальне науково-дослідне завдання</w:t>
      </w:r>
    </w:p>
    <w:p>
      <w:pPr>
        <w:pStyle w:val="44"/>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Не передбачено ОПП</w:t>
      </w:r>
    </w:p>
    <w:p>
      <w:pPr>
        <w:spacing w:after="0" w:line="240" w:lineRule="auto"/>
        <w:ind w:left="720"/>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uk-UA" w:eastAsia="ru-RU"/>
        </w:rPr>
        <w:t>9.</w:t>
      </w:r>
      <w:r>
        <w:rPr>
          <w:rFonts w:ascii="Times New Roman" w:hAnsi="Times New Roman" w:eastAsia="Times New Roman" w:cs="Times New Roman"/>
          <w:b/>
          <w:sz w:val="24"/>
          <w:szCs w:val="24"/>
          <w:lang w:eastAsia="ru-RU"/>
        </w:rPr>
        <w:t>Форми роботи та критерії оцінювання</w:t>
      </w:r>
    </w:p>
    <w:p>
      <w:pPr>
        <w:spacing w:after="0" w:line="240" w:lineRule="auto"/>
        <w:contextualSpacing/>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Рейтинговий контроль знань студентів здійснюється за 100-бальною шкалою: </w:t>
      </w:r>
    </w:p>
    <w:p>
      <w:pPr>
        <w:spacing w:after="0" w:line="240" w:lineRule="auto"/>
        <w:contextualSpacing/>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Шкала оцінювання: національна та ECTS</w:t>
      </w:r>
    </w:p>
    <w:tbl>
      <w:tblPr>
        <w:tblStyle w:val="12"/>
        <w:tblW w:w="0" w:type="auto"/>
        <w:tblInd w:w="0" w:type="dxa"/>
        <w:tblLayout w:type="autofit"/>
        <w:tblCellMar>
          <w:top w:w="0" w:type="dxa"/>
          <w:left w:w="108" w:type="dxa"/>
          <w:bottom w:w="0" w:type="dxa"/>
          <w:right w:w="108" w:type="dxa"/>
        </w:tblCellMar>
      </w:tblPr>
      <w:tblGrid>
        <w:gridCol w:w="1877"/>
        <w:gridCol w:w="1705"/>
        <w:gridCol w:w="2718"/>
        <w:gridCol w:w="3060"/>
      </w:tblGrid>
      <w:tr>
        <w:tblPrEx>
          <w:tblCellMar>
            <w:top w:w="0" w:type="dxa"/>
            <w:left w:w="108" w:type="dxa"/>
            <w:bottom w:w="0" w:type="dxa"/>
            <w:right w:w="108" w:type="dxa"/>
          </w:tblCellMar>
        </w:tblPrEx>
        <w:trPr>
          <w:trHeight w:val="420" w:hRule="atLeast"/>
        </w:trPr>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CYR" w:hAnsi="Times New Roman CYR" w:eastAsia="Times New Roman" w:cs="Times New Roman CYR"/>
                <w:sz w:val="24"/>
                <w:szCs w:val="24"/>
                <w:lang w:val="uk-UA" w:eastAsia="uk-UA"/>
              </w:rPr>
            </w:pPr>
            <w:r>
              <w:rPr>
                <w:rFonts w:ascii="Times New Roman CYR" w:hAnsi="Times New Roman CYR" w:eastAsia="Times New Roman" w:cs="Times New Roman CYR"/>
                <w:sz w:val="24"/>
                <w:szCs w:val="24"/>
                <w:lang w:val="uk-UA" w:eastAsia="uk-UA"/>
              </w:rPr>
              <w:t>ОЦІНКА</w:t>
            </w:r>
          </w:p>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СУМА БАЛІВ</w:t>
            </w:r>
          </w:p>
        </w:tc>
        <w:tc>
          <w:tcPr>
            <w:tcW w:w="5778"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 xml:space="preserve">ОЦІНКА ЗА НАЦІОНАЛЬНОЮ ШКАЛОЮ </w:t>
            </w:r>
          </w:p>
        </w:tc>
      </w:tr>
      <w:tr>
        <w:tblPrEx>
          <w:tblCellMar>
            <w:top w:w="0" w:type="dxa"/>
            <w:left w:w="108" w:type="dxa"/>
            <w:bottom w:w="0" w:type="dxa"/>
            <w:right w:w="108" w:type="dxa"/>
          </w:tblCellMar>
        </w:tblPrEx>
        <w:trPr>
          <w:trHeight w:val="131" w:hRule="atLeast"/>
        </w:trPr>
        <w:tc>
          <w:tcPr>
            <w:tcW w:w="187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Calibri"/>
                <w:sz w:val="24"/>
                <w:szCs w:val="24"/>
                <w:lang w:val="uk-UA" w:eastAsia="uk-UA"/>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Calibri"/>
                <w:sz w:val="24"/>
                <w:szCs w:val="24"/>
                <w:lang w:val="uk-UA" w:eastAsia="uk-UA"/>
              </w:rPr>
            </w:pPr>
          </w:p>
        </w:tc>
        <w:tc>
          <w:tcPr>
            <w:tcW w:w="2718"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 xml:space="preserve">екзамен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залік</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90-100</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 (відмінно)</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5/відм./зараховано</w:t>
            </w:r>
          </w:p>
        </w:tc>
      </w:tr>
      <w:tr>
        <w:tblPrEx>
          <w:tblCellMar>
            <w:top w:w="0" w:type="dxa"/>
            <w:left w:w="108" w:type="dxa"/>
            <w:bottom w:w="0" w:type="dxa"/>
            <w:right w:w="108" w:type="dxa"/>
          </w:tblCellMar>
        </w:tblPrEx>
        <w:trPr>
          <w:trHeight w:val="27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80-89</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 (добре)</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4/добре/ зараховано</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65-79</w:t>
            </w:r>
          </w:p>
        </w:tc>
        <w:tc>
          <w:tcPr>
            <w:tcW w:w="5778"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eastAsia="ru-RU"/>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eastAsia="ru-RU"/>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55-64</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 (задовільно) </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3/задов./ зараховано</w:t>
            </w:r>
          </w:p>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w:t>
            </w:r>
          </w:p>
        </w:tc>
      </w:tr>
      <w:tr>
        <w:tblPrEx>
          <w:tblCellMar>
            <w:top w:w="0" w:type="dxa"/>
            <w:left w:w="108" w:type="dxa"/>
            <w:bottom w:w="0" w:type="dxa"/>
            <w:right w:w="108" w:type="dxa"/>
          </w:tblCellMar>
        </w:tblPrEx>
        <w:trPr>
          <w:trHeight w:val="42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50-54</w:t>
            </w:r>
          </w:p>
        </w:tc>
        <w:tc>
          <w:tcPr>
            <w:tcW w:w="5778"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eastAsia="ru-RU"/>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eastAsia="ru-RU"/>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35-49</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 (незадовільно)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Не зараховано</w:t>
            </w:r>
          </w:p>
        </w:tc>
      </w:tr>
    </w:tbl>
    <w:p>
      <w:pPr>
        <w:spacing w:after="0" w:line="240" w:lineRule="auto"/>
        <w:ind w:firstLine="567"/>
        <w:contextualSpacing/>
        <w:jc w:val="both"/>
        <w:rPr>
          <w:rFonts w:ascii="Times New Roman" w:hAnsi="Times New Roman" w:eastAsia="Times New Roman" w:cs="Times New Roman"/>
          <w:color w:val="000000"/>
          <w:sz w:val="24"/>
          <w:szCs w:val="24"/>
          <w:lang w:val="uk-UA" w:eastAsia="ru-RU"/>
        </w:rPr>
      </w:pPr>
    </w:p>
    <w:p>
      <w:pPr>
        <w:pStyle w:val="44"/>
        <w:spacing w:after="0"/>
        <w:ind w:left="0" w:firstLine="567"/>
        <w:jc w:val="both"/>
        <w:rPr>
          <w:rFonts w:ascii="Times New Roman" w:hAnsi="Times New Roman" w:cs="Times New Roman"/>
          <w:sz w:val="24"/>
          <w:szCs w:val="24"/>
        </w:rPr>
      </w:pPr>
      <w:r>
        <w:rPr>
          <w:rFonts w:ascii="Times New Roman" w:hAnsi="Times New Roman" w:eastAsia="Times New Roman" w:cs="Times New Roman"/>
          <w:b/>
          <w:color w:val="000000"/>
          <w:sz w:val="24"/>
          <w:szCs w:val="24"/>
          <w:lang w:val="uk-UA" w:eastAsia="ru-RU"/>
        </w:rPr>
        <w:t>Форми поточного та підсумкового контролю.</w:t>
      </w:r>
      <w:r>
        <w:rPr>
          <w:rFonts w:ascii="Times New Roman" w:hAnsi="Times New Roman" w:cs="Times New Roman"/>
          <w:sz w:val="24"/>
          <w:szCs w:val="24"/>
        </w:rPr>
        <w:t xml:space="preserve"> Під час презентації студентом основних положень керівник практики уважно розглядає її зміст, виставляє бали за зміст, після чого задає студентові усні запитання, які дозволяють оцінити розуміння студентом цих змістовних положень. Виставлена загальна сума балів переводиться за шкалою ECTS та національною шкалою і заноситься у відповідні документи як підсумкові оцінки з проходження практики.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Критерії оцінки презентації матеріалів практики (за кожну частину)</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 Найвища якість презентації має відповідати таким вимогам:</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повне та вичерпне викладення основних положень, яка проводилася студентом під час опрацювання практики;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повний склад документів, які вимагаються відповідною частиною практики (декларації, розрахунки, аналітичні та статистичні матеріали тощо); допускається представлення не менше 85 % документів, передбачених програмою, з причин, які не залежать від студента;</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вільне володіння презентацією основних положень практики;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повне знання відповідного законодавчого та інструктивного матеріалу;</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уміння студента відповідати на проблемні питання, пов'язані із змістом роботи на ділянках, передбачених практики;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актуальність і достовірність поданої у презентації інформації.</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ІІ. Середня якість презентації визначається у випадку, якщо наявний хоча б один із зазначених нижче пунктів: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неповне викладення основних положень вимогам практики (70-85% охоплення зазначених питань у програмі);</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неповний склад документів, які вимагаються відповідною практикою (70-85% необхідних документів);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відносно презентації на найвищий бал немає відповідності хоча б одному з пунктів, зазначених вище, або якщо:</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при розкритті змісту питання в цілому правильно за зазначеними вимогами зроблені окремі помилки;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часткова актуальність і достовірність поданої у презентації інформації.</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ІІІ. Посередня якість презентації визначається у випадку, якщо наявний</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хоча б один із зазначених нижче пунктів: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неповне викладення основних положень або неповна відповідність вимогам практики (50-70% охоплення зазначених у програмі питань);</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неповний склад документів, які вимагаються практикою (50-70% необхідних документів);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відносно захисту на вищий бал немає відповідності хоча б одному з пунктів, зазначених вище, або якщо:</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при розкритті змісту питання в цілому правильно за зазначеними вимогами зроблені значні помилки під час визначення терміну прийняття чи назви змісту в цілому правильно зазначеного інструктивного матеріалу;</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неактуальність поданої у презентації інформації.</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IV. Незадовільна якість презентації  визначається у випадку, якщо наявний хоча б один із зазначених нижче пунктів: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одночасно присутні два чи більше критеріїв, що відповідають попередній оцінці;</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неповне викладення основних положень або неповна відповідність вимогам практики (менше 50% охоплення зазначених у програмі питань);</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неповного складу документів, які вимагаються практикою (менше 50% необхідних документів);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недостовірності поданої у презентації інформації;</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характер відповідей дає підставу стверджувати, що особа яка презентує основні положення тренінгу, неправильно зрозуміла зміст практики і тому не відповідає на питання по суті, припустилася грубих помилок у змісті відповіді.</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Під час підсумкової оцінки практики в цілому додатково враховується і впливає на загальну суму балів трудова дисципліна студента під час проходження практики. При порушенні графіка і змісту проходження практики (зафіксованому у журналі) викладач може знизити оцінку за одноразову відсутність на занятті без поважних причин у встановлений робочий час (мінус 1 бал за кожну академічну годину аудиторної роботи).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Мінімальна оцінка з урахуванням усіх можливих недоліків 0 балів.</w:t>
      </w:r>
    </w:p>
    <w:p>
      <w:pPr>
        <w:spacing w:after="0" w:line="240" w:lineRule="auto"/>
        <w:ind w:firstLine="567"/>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sz w:val="24"/>
          <w:szCs w:val="24"/>
          <w:lang w:val="uk-UA" w:eastAsia="uk-UA"/>
        </w:rPr>
        <w:t>Студент, котрий не виконав програму практики або отримав незадовільну оцінку по практиці, направляється на практику повторно або відраховується з університету.</w:t>
      </w:r>
    </w:p>
    <w:p>
      <w:pPr>
        <w:spacing w:after="0" w:line="240" w:lineRule="auto"/>
        <w:ind w:firstLine="709"/>
        <w:contextualSpacing/>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10. Засоби діагностики</w:t>
      </w:r>
    </w:p>
    <w:p>
      <w:pPr>
        <w:spacing w:after="0" w:line="240" w:lineRule="auto"/>
        <w:ind w:firstLine="709"/>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Засобами діагностики та методами демонстрування результатів навчання є: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pPr>
        <w:spacing w:after="0" w:line="240" w:lineRule="auto"/>
        <w:ind w:firstLine="567"/>
        <w:contextualSpacing/>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11. Методи навчання</w:t>
      </w:r>
    </w:p>
    <w:p>
      <w:pPr>
        <w:pStyle w:val="44"/>
        <w:ind w:right="-142"/>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Консультації студентів з приводу написання Звіту про проходження практики, контроль за виконанням обов’язків практикантом.</w:t>
      </w:r>
    </w:p>
    <w:p>
      <w:pPr>
        <w:pStyle w:val="44"/>
        <w:shd w:val="clear" w:color="auto" w:fill="FFFFFF"/>
        <w:jc w:val="center"/>
        <w:rPr>
          <w:rFonts w:ascii="Times New Roman" w:hAnsi="Times New Roman" w:cs="Times New Roman"/>
          <w:b/>
          <w:bCs/>
          <w:spacing w:val="-6"/>
          <w:sz w:val="24"/>
          <w:szCs w:val="24"/>
          <w:lang w:eastAsia="ru-RU"/>
        </w:rPr>
      </w:pPr>
      <w:r>
        <w:rPr>
          <w:rFonts w:ascii="Times New Roman" w:hAnsi="Times New Roman" w:cs="Times New Roman"/>
          <w:b/>
          <w:sz w:val="24"/>
          <w:szCs w:val="24"/>
          <w:lang w:eastAsia="ru-RU"/>
        </w:rPr>
        <w:t>1</w:t>
      </w:r>
      <w:r>
        <w:rPr>
          <w:rFonts w:ascii="Times New Roman" w:hAnsi="Times New Roman" w:cs="Times New Roman"/>
          <w:b/>
          <w:sz w:val="24"/>
          <w:szCs w:val="24"/>
          <w:lang w:val="uk-UA" w:eastAsia="ru-RU"/>
        </w:rPr>
        <w:t>2</w:t>
      </w:r>
      <w:r>
        <w:rPr>
          <w:rFonts w:ascii="Times New Roman" w:hAnsi="Times New Roman" w:cs="Times New Roman"/>
          <w:b/>
          <w:sz w:val="24"/>
          <w:szCs w:val="24"/>
          <w:lang w:eastAsia="ru-RU"/>
        </w:rPr>
        <w:t>. Рекомендована література</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Конституція України // Відомості Верховної Ради України. 1996. №30. С.141.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Бюджетний кодекс України // Відомості Верховної Ради України. 2010.  № 50. С.189.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Господарський кодекс України // Відомості Верховної Ради України. 2003. №18. С.144.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власність» від 7 лютого 1991 р. В 12 т. Т. 1. С. 173-188.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підприємництво» від 7 лютого 1991 р. В 12 т.  Т. 1.  С. 191-201.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господарські товариства» від 19 вересня 1991 р. В 12 т.  Т. 2.  С .189-212.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інвестиційну діяльність» від 18 вересня 1991 р. В 12 т.  Т. 3.  С .132-136.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державну контрольно-ревізійну службу в Україні» від 26 січня 1993 р. Відомості Верховної Ради України.  1993.  № 13.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страхування» від 7 березня 1996 р. № 85/96-ВР. Відомості Верховної Ради України. 1996. №18.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державне регулювання ринку цінних паперів в Україні» від 30 жовтня 1996 р. В 12 т.  Т. 11.  С 177-188.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державну податкову службу в Україні» від 5 лютого 1998 р. № 83/98-ВР. Відомості Верховної Ради України. 1998. № 29.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Національний банк України» від 20 травня 1999 р. Відомості Верховної Ради України. 1999. № 29.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 вересня 1999 p. № 1105-XIV. Відомості Верховної Ради України. 1999. № 46-47.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загальнообов'язкове державне соціальне страхування на випадок безробіття» від 2 березня 2000 р. № 1533-ПІ. Відомості Верховної Ради України. 2000. № 22.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державну підтримку малого підприємництва» від 19 жовтня 2000 р. Відомості Верховної Ради України. 2000. № 51-52.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банки і банківську діяльність» від 17 січня 2001 р. Відомості Верховної Ради України. 2001. №5-6.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страхові тарифи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22 лютого 2001 р. № 2272-ІП. Офіційний вісник України. 2001. № 12.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обов'язкове державне соціальне страхування у зв'язку з тимчасовою втратою працездатності та витратами, зумовленими народженням та похованням» від 18 січня 2001 р. №2 2240-111. Урядовий кур'єр. 2001. №38.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фінансові послуги та державне регулювання ринків фінансових послуг» від 12 липня 2001 р. Урядовий кур'єр.  2001.  № 154. С 6-12.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платіжні системи та переказ грошей в Україні». Урядовий кур'єр. 2001. № 84. С 6-10.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розмір внесків на деякі види загальнообов’язкового державного соціального страхування» від 1 листопада 2001 р. Відомості Верховної Ради України. 2001. №4.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Державний бюджет України на поточний рік». Урядовий кур'єр. 2006. № 29. С 2-10.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іпотеку». Урядовий кур'єр. 2003. № 183. С. 1-12.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іпотечне кредитування, операції з консолідованим іпотечним боргом та іпотечні сертифікати». Урядовий кур'єр. 2003. № 154. С. 1-12.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цінні папери та фондовий ринок» від 23 лютого 2006 р. Урядовий кур'єр. 2006. № 37.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Положення про Державну комісію з регулювання ринків фінансових послуг України від 4 квітня 2003 р. Урядовий кур'єр. 2003. №71.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Податковий Кодекс України від 02.12.2010 № 2755-VІ. </w:t>
      </w:r>
      <w:r>
        <w:rPr>
          <w:rFonts w:ascii="Times New Roman" w:hAnsi="Times New Roman" w:cs="Times New Roman"/>
          <w:sz w:val="24"/>
          <w:szCs w:val="24"/>
          <w:lang w:val="en-US"/>
        </w:rPr>
        <w:t>URL</w:t>
      </w:r>
      <w:r>
        <w:rPr>
          <w:rFonts w:ascii="Times New Roman" w:hAnsi="Times New Roman" w:cs="Times New Roman"/>
          <w:sz w:val="24"/>
          <w:szCs w:val="24"/>
          <w:lang w:val="uk-UA"/>
        </w:rPr>
        <w:t xml:space="preserve">: http://www.rada.gov.ua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Азаренкова Г. М., Борисенко І. І. Фінанси: практикум. К. Знання, 2008. 279 с.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Білик М.Д., Бабяк Н.Д., Соколова О.Б. Фінанси підприємств: Практикум. К. Центр учбової літератури, 2008. 196 с.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Василик О.Д., Василик О.О. Теорія фінансів: Підручник. К.: НІОМ, 2001. 416 с.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Данілов О. Д., Паєнтко Т. В. Фінанси підприємств у запитаннях і відповідях: навч. посіб. К.: КНТ, 2009. 272 с. </w:t>
      </w:r>
    </w:p>
    <w:p>
      <w:pPr>
        <w:numPr>
          <w:ilvl w:val="0"/>
          <w:numId w:val="13"/>
        </w:numPr>
        <w:tabs>
          <w:tab w:val="left" w:pos="0"/>
          <w:tab w:val="left" w:pos="993"/>
          <w:tab w:val="clear" w:pos="72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Данік Н.В., Криленко В.І. Фінансовий менеджмент у банку: навч. посібник. 2018 р. Миколаїв, 250 с.</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Зарєчнєв А. М., Малаєва Т. В., Русанова Р.П. Фінанси. Тести та задачі: Навчальний посібник. Київ: ЦУЛ, 2003. 196 с.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Зеліско І. М. Фінансові ресурси інтеграційних аграрних формувань в сучасному вимірі: монографія. К.: ННЦ ІАЕ. 2012. 451 с. </w:t>
      </w:r>
    </w:p>
    <w:p>
      <w:pPr>
        <w:pStyle w:val="44"/>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Зимовець В.В., Зубик С.П. Фінансове посередництво: Навч. посіб. К.: КНЕУ, 2005. 288 с. </w:t>
      </w:r>
    </w:p>
    <w:p>
      <w:pPr>
        <w:numPr>
          <w:ilvl w:val="0"/>
          <w:numId w:val="13"/>
        </w:numPr>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lang w:val="uk-UA"/>
        </w:rPr>
        <w:t xml:space="preserve">Корнєва Н.О., Данік Н.В., Рудь І.Ю. Фінансовий аналіз [Текст]. </w:t>
      </w:r>
      <w:r>
        <w:rPr>
          <w:rFonts w:ascii="Times New Roman" w:hAnsi="Times New Roman"/>
          <w:sz w:val="24"/>
          <w:szCs w:val="24"/>
        </w:rPr>
        <w:t>Миколаїв: Іліон. 2016. 212 с.</w:t>
      </w:r>
    </w:p>
    <w:p>
      <w:pPr>
        <w:numPr>
          <w:ilvl w:val="0"/>
          <w:numId w:val="13"/>
        </w:numPr>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Корнєва Н.О., Данік Н.В., Рудь І.Ю. Фінанси [Текст]. Миколаїв: Іліон. 2016. 232 с.</w:t>
      </w:r>
    </w:p>
    <w:p>
      <w:pPr>
        <w:numPr>
          <w:ilvl w:val="0"/>
          <w:numId w:val="13"/>
        </w:numPr>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Корнєва Н.О., Криленко В.І. Фінансова діяльність суб’єктів господарювання [Текст]. Харків: Панов. 2016. 182 с.</w:t>
      </w:r>
    </w:p>
    <w:p>
      <w:pPr>
        <w:pStyle w:val="44"/>
        <w:shd w:val="clear" w:color="auto" w:fill="FFFFFF"/>
        <w:tabs>
          <w:tab w:val="left" w:pos="187"/>
        </w:tabs>
        <w:jc w:val="center"/>
        <w:rPr>
          <w:rFonts w:ascii="Times New Roman" w:hAnsi="Times New Roman" w:cs="Times New Roman"/>
          <w:spacing w:val="-20"/>
          <w:lang w:eastAsia="ru-RU"/>
        </w:rPr>
      </w:pPr>
      <w:r>
        <w:rPr>
          <w:rFonts w:ascii="Times New Roman" w:hAnsi="Times New Roman" w:cs="Times New Roman"/>
          <w:b/>
          <w:lang w:eastAsia="ru-RU"/>
        </w:rPr>
        <w:t>1</w:t>
      </w:r>
      <w:r>
        <w:rPr>
          <w:rFonts w:ascii="Times New Roman" w:hAnsi="Times New Roman" w:cs="Times New Roman"/>
          <w:b/>
          <w:lang w:val="uk-UA" w:eastAsia="ru-RU"/>
        </w:rPr>
        <w:t>3</w:t>
      </w:r>
      <w:r>
        <w:rPr>
          <w:rFonts w:ascii="Times New Roman" w:hAnsi="Times New Roman" w:cs="Times New Roman"/>
          <w:b/>
          <w:lang w:eastAsia="ru-RU"/>
        </w:rPr>
        <w:t>. Інформаційні ресурси</w:t>
      </w:r>
    </w:p>
    <w:p>
      <w:pPr>
        <w:pStyle w:val="29"/>
        <w:shd w:val="clear" w:color="auto" w:fill="FFFFFF" w:themeFill="background1"/>
        <w:tabs>
          <w:tab w:val="left" w:pos="1418"/>
        </w:tabs>
        <w:spacing w:before="0" w:beforeAutospacing="0" w:after="0" w:afterAutospacing="0"/>
        <w:ind w:left="720"/>
        <w:jc w:val="both"/>
        <w:rPr>
          <w:b/>
          <w:sz w:val="28"/>
          <w:szCs w:val="28"/>
        </w:rPr>
      </w:pPr>
      <w:r>
        <w:t xml:space="preserve">Положення про організацію виробничої практики </w:t>
      </w:r>
      <w:r>
        <w:fldChar w:fldCharType="begin"/>
      </w:r>
      <w:r>
        <w:instrText xml:space="preserve"> HYPERLINK "http://mdu.edu.ua/wp-content/%20uploads/%20order303.pdf" </w:instrText>
      </w:r>
      <w:r>
        <w:fldChar w:fldCharType="separate"/>
      </w:r>
      <w:r>
        <w:rPr>
          <w:rFonts w:eastAsia="Calibri"/>
          <w:color w:val="0000FF"/>
          <w:u w:val="single"/>
        </w:rPr>
        <w:t>http://mdu.edu.ua/wp-content/ uploads/ order303.pdf</w:t>
      </w:r>
      <w:r>
        <w:rPr>
          <w:rFonts w:eastAsia="Calibri"/>
          <w:color w:val="0000FF"/>
          <w:u w:val="single"/>
        </w:rPr>
        <w:fldChar w:fldCharType="end"/>
      </w:r>
      <w:r>
        <w:rPr>
          <w:rFonts w:eastAsia="Calibri"/>
        </w:rPr>
        <w:t>.</w:t>
      </w:r>
    </w:p>
    <w:sectPr>
      <w:pgSz w:w="11906" w:h="16838"/>
      <w:pgMar w:top="1134" w:right="850" w:bottom="993" w:left="1276"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TimesNewRoman">
    <w:altName w:val="Yu Gothic"/>
    <w:panose1 w:val="00000000000000000000"/>
    <w:charset w:val="80"/>
    <w:family w:val="auto"/>
    <w:pitch w:val="default"/>
    <w:sig w:usb0="00000000" w:usb1="00000000" w:usb2="00000010" w:usb3="00000000" w:csb0="00020005" w:csb1="00000000"/>
  </w:font>
  <w:font w:name="Yu Gothic">
    <w:panose1 w:val="020B04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 w:name="Calibri Light">
    <w:panose1 w:val="020F0302020204030204"/>
    <w:charset w:val="00"/>
    <w:family w:val="auto"/>
    <w:pitch w:val="default"/>
    <w:sig w:usb0="E4002EFF" w:usb1="C000247B" w:usb2="00000009" w:usb3="00000000" w:csb0="200001FF"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CA237C"/>
    <w:multiLevelType w:val="multilevel"/>
    <w:tmpl w:val="18CA237C"/>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
    <w:nsid w:val="218C2EB4"/>
    <w:multiLevelType w:val="multilevel"/>
    <w:tmpl w:val="218C2EB4"/>
    <w:lvl w:ilvl="0" w:tentative="0">
      <w:start w:val="1"/>
      <w:numFmt w:val="decimal"/>
      <w:lvlText w:val="%1."/>
      <w:lvlJc w:val="left"/>
      <w:pPr>
        <w:tabs>
          <w:tab w:val="left" w:pos="1080"/>
        </w:tabs>
        <w:ind w:left="1080" w:hanging="360"/>
      </w:pPr>
      <w:rPr>
        <w:rFonts w:cs="Times New Roman"/>
      </w:rPr>
    </w:lvl>
    <w:lvl w:ilvl="1" w:tentative="0">
      <w:start w:val="1"/>
      <w:numFmt w:val="lowerLetter"/>
      <w:lvlText w:val="%2."/>
      <w:lvlJc w:val="left"/>
      <w:pPr>
        <w:tabs>
          <w:tab w:val="left" w:pos="1800"/>
        </w:tabs>
        <w:ind w:left="1800" w:hanging="360"/>
      </w:pPr>
      <w:rPr>
        <w:rFonts w:cs="Times New Roman"/>
      </w:rPr>
    </w:lvl>
    <w:lvl w:ilvl="2" w:tentative="0">
      <w:start w:val="1"/>
      <w:numFmt w:val="lowerRoman"/>
      <w:lvlText w:val="%3."/>
      <w:lvlJc w:val="right"/>
      <w:pPr>
        <w:tabs>
          <w:tab w:val="left" w:pos="2520"/>
        </w:tabs>
        <w:ind w:left="2520" w:hanging="180"/>
      </w:pPr>
      <w:rPr>
        <w:rFonts w:cs="Times New Roman"/>
      </w:rPr>
    </w:lvl>
    <w:lvl w:ilvl="3" w:tentative="0">
      <w:start w:val="1"/>
      <w:numFmt w:val="decimal"/>
      <w:lvlText w:val="%4."/>
      <w:lvlJc w:val="left"/>
      <w:pPr>
        <w:tabs>
          <w:tab w:val="left" w:pos="3240"/>
        </w:tabs>
        <w:ind w:left="3240" w:hanging="360"/>
      </w:pPr>
      <w:rPr>
        <w:rFonts w:cs="Times New Roman"/>
        <w:b/>
      </w:rPr>
    </w:lvl>
    <w:lvl w:ilvl="4" w:tentative="0">
      <w:start w:val="1"/>
      <w:numFmt w:val="lowerLetter"/>
      <w:lvlText w:val="%5."/>
      <w:lvlJc w:val="left"/>
      <w:pPr>
        <w:tabs>
          <w:tab w:val="left" w:pos="3960"/>
        </w:tabs>
        <w:ind w:left="3960" w:hanging="360"/>
      </w:pPr>
      <w:rPr>
        <w:rFonts w:cs="Times New Roman"/>
      </w:rPr>
    </w:lvl>
    <w:lvl w:ilvl="5" w:tentative="0">
      <w:start w:val="1"/>
      <w:numFmt w:val="lowerRoman"/>
      <w:lvlText w:val="%6."/>
      <w:lvlJc w:val="right"/>
      <w:pPr>
        <w:tabs>
          <w:tab w:val="left" w:pos="4680"/>
        </w:tabs>
        <w:ind w:left="4680" w:hanging="180"/>
      </w:pPr>
      <w:rPr>
        <w:rFonts w:cs="Times New Roman"/>
      </w:rPr>
    </w:lvl>
    <w:lvl w:ilvl="6" w:tentative="0">
      <w:start w:val="1"/>
      <w:numFmt w:val="decimal"/>
      <w:lvlText w:val="%7."/>
      <w:lvlJc w:val="left"/>
      <w:pPr>
        <w:tabs>
          <w:tab w:val="left" w:pos="5400"/>
        </w:tabs>
        <w:ind w:left="5400" w:hanging="360"/>
      </w:pPr>
      <w:rPr>
        <w:rFonts w:cs="Times New Roman"/>
      </w:rPr>
    </w:lvl>
    <w:lvl w:ilvl="7" w:tentative="0">
      <w:start w:val="1"/>
      <w:numFmt w:val="lowerLetter"/>
      <w:lvlText w:val="%8."/>
      <w:lvlJc w:val="left"/>
      <w:pPr>
        <w:tabs>
          <w:tab w:val="left" w:pos="6120"/>
        </w:tabs>
        <w:ind w:left="6120" w:hanging="360"/>
      </w:pPr>
      <w:rPr>
        <w:rFonts w:cs="Times New Roman"/>
      </w:rPr>
    </w:lvl>
    <w:lvl w:ilvl="8" w:tentative="0">
      <w:start w:val="1"/>
      <w:numFmt w:val="lowerRoman"/>
      <w:lvlText w:val="%9."/>
      <w:lvlJc w:val="right"/>
      <w:pPr>
        <w:tabs>
          <w:tab w:val="left" w:pos="6840"/>
        </w:tabs>
        <w:ind w:left="6840" w:hanging="180"/>
      </w:pPr>
      <w:rPr>
        <w:rFonts w:cs="Times New Roman"/>
      </w:rPr>
    </w:lvl>
  </w:abstractNum>
  <w:abstractNum w:abstractNumId="2">
    <w:nsid w:val="32E53A03"/>
    <w:multiLevelType w:val="singleLevel"/>
    <w:tmpl w:val="32E53A03"/>
    <w:lvl w:ilvl="0" w:tentative="0">
      <w:start w:val="1"/>
      <w:numFmt w:val="bullet"/>
      <w:lvlText w:val="-"/>
      <w:lvlJc w:val="left"/>
      <w:pPr>
        <w:tabs>
          <w:tab w:val="left" w:pos="720"/>
        </w:tabs>
        <w:ind w:left="720" w:hanging="360"/>
      </w:pPr>
      <w:rPr>
        <w:rFonts w:hint="default"/>
      </w:rPr>
    </w:lvl>
  </w:abstractNum>
  <w:abstractNum w:abstractNumId="3">
    <w:nsid w:val="365359CB"/>
    <w:multiLevelType w:val="singleLevel"/>
    <w:tmpl w:val="365359CB"/>
    <w:lvl w:ilvl="0" w:tentative="0">
      <w:start w:val="2"/>
      <w:numFmt w:val="bullet"/>
      <w:lvlText w:val="-"/>
      <w:lvlJc w:val="left"/>
      <w:pPr>
        <w:tabs>
          <w:tab w:val="left" w:pos="360"/>
        </w:tabs>
        <w:ind w:left="360" w:hanging="360"/>
      </w:pPr>
      <w:rPr>
        <w:rFonts w:hint="default"/>
      </w:rPr>
    </w:lvl>
  </w:abstractNum>
  <w:abstractNum w:abstractNumId="4">
    <w:nsid w:val="3916362C"/>
    <w:multiLevelType w:val="multilevel"/>
    <w:tmpl w:val="391636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3B1E1B7D"/>
    <w:multiLevelType w:val="multilevel"/>
    <w:tmpl w:val="3B1E1B7D"/>
    <w:lvl w:ilvl="0" w:tentative="0">
      <w:start w:val="3"/>
      <w:numFmt w:val="decimal"/>
      <w:lvlText w:val="%1."/>
      <w:lvlJc w:val="left"/>
      <w:pPr>
        <w:tabs>
          <w:tab w:val="left" w:pos="420"/>
        </w:tabs>
        <w:ind w:left="420" w:hanging="420"/>
      </w:pPr>
      <w:rPr>
        <w:rFonts w:hint="default" w:cs="Times New Roman"/>
      </w:rPr>
    </w:lvl>
    <w:lvl w:ilvl="1" w:tentative="0">
      <w:start w:val="4"/>
      <w:numFmt w:val="decimal"/>
      <w:lvlText w:val="%1.%2."/>
      <w:lvlJc w:val="left"/>
      <w:pPr>
        <w:tabs>
          <w:tab w:val="left" w:pos="1080"/>
        </w:tabs>
        <w:ind w:left="1080" w:hanging="720"/>
      </w:pPr>
      <w:rPr>
        <w:rFonts w:hint="default" w:cs="Times New Roman"/>
      </w:rPr>
    </w:lvl>
    <w:lvl w:ilvl="2" w:tentative="0">
      <w:start w:val="1"/>
      <w:numFmt w:val="decimal"/>
      <w:lvlText w:val="%1.%2.%3."/>
      <w:lvlJc w:val="left"/>
      <w:pPr>
        <w:tabs>
          <w:tab w:val="left" w:pos="1440"/>
        </w:tabs>
        <w:ind w:left="1440" w:hanging="720"/>
      </w:pPr>
      <w:rPr>
        <w:rFonts w:hint="default" w:cs="Times New Roman"/>
      </w:rPr>
    </w:lvl>
    <w:lvl w:ilvl="3" w:tentative="0">
      <w:start w:val="1"/>
      <w:numFmt w:val="decimal"/>
      <w:lvlText w:val="%1.%2.%3.%4."/>
      <w:lvlJc w:val="left"/>
      <w:pPr>
        <w:tabs>
          <w:tab w:val="left" w:pos="2160"/>
        </w:tabs>
        <w:ind w:left="2160" w:hanging="108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3240"/>
        </w:tabs>
        <w:ind w:left="3240" w:hanging="1440"/>
      </w:pPr>
      <w:rPr>
        <w:rFonts w:hint="default" w:cs="Times New Roman"/>
      </w:rPr>
    </w:lvl>
    <w:lvl w:ilvl="6" w:tentative="0">
      <w:start w:val="1"/>
      <w:numFmt w:val="decimal"/>
      <w:lvlText w:val="%1.%2.%3.%4.%5.%6.%7."/>
      <w:lvlJc w:val="left"/>
      <w:pPr>
        <w:tabs>
          <w:tab w:val="left" w:pos="3960"/>
        </w:tabs>
        <w:ind w:left="3960" w:hanging="1800"/>
      </w:pPr>
      <w:rPr>
        <w:rFonts w:hint="default" w:cs="Times New Roman"/>
      </w:rPr>
    </w:lvl>
    <w:lvl w:ilvl="7" w:tentative="0">
      <w:start w:val="1"/>
      <w:numFmt w:val="decimal"/>
      <w:lvlText w:val="%1.%2.%3.%4.%5.%6.%7.%8."/>
      <w:lvlJc w:val="left"/>
      <w:pPr>
        <w:tabs>
          <w:tab w:val="left" w:pos="4320"/>
        </w:tabs>
        <w:ind w:left="4320" w:hanging="1800"/>
      </w:pPr>
      <w:rPr>
        <w:rFonts w:hint="default" w:cs="Times New Roman"/>
      </w:rPr>
    </w:lvl>
    <w:lvl w:ilvl="8" w:tentative="0">
      <w:start w:val="1"/>
      <w:numFmt w:val="decimal"/>
      <w:lvlText w:val="%1.%2.%3.%4.%5.%6.%7.%8.%9."/>
      <w:lvlJc w:val="left"/>
      <w:pPr>
        <w:tabs>
          <w:tab w:val="left" w:pos="5040"/>
        </w:tabs>
        <w:ind w:left="5040" w:hanging="2160"/>
      </w:pPr>
      <w:rPr>
        <w:rFonts w:hint="default" w:cs="Times New Roman"/>
      </w:rPr>
    </w:lvl>
  </w:abstractNum>
  <w:abstractNum w:abstractNumId="6">
    <w:nsid w:val="3D3A1D2C"/>
    <w:multiLevelType w:val="multilevel"/>
    <w:tmpl w:val="3D3A1D2C"/>
    <w:lvl w:ilvl="0" w:tentative="0">
      <w:start w:val="1"/>
      <w:numFmt w:val="decimal"/>
      <w:lvlText w:val="%1."/>
      <w:lvlJc w:val="left"/>
      <w:pPr>
        <w:ind w:left="1069" w:hanging="36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7">
    <w:nsid w:val="42D35146"/>
    <w:multiLevelType w:val="multilevel"/>
    <w:tmpl w:val="42D35146"/>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8">
    <w:nsid w:val="44B0503C"/>
    <w:multiLevelType w:val="multilevel"/>
    <w:tmpl w:val="44B0503C"/>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9">
    <w:nsid w:val="527D3A85"/>
    <w:multiLevelType w:val="multilevel"/>
    <w:tmpl w:val="527D3A85"/>
    <w:lvl w:ilvl="0" w:tentative="0">
      <w:start w:val="1"/>
      <w:numFmt w:val="decimal"/>
      <w:lvlText w:val="%1."/>
      <w:lvlJc w:val="left"/>
      <w:pPr>
        <w:tabs>
          <w:tab w:val="left" w:pos="720"/>
        </w:tabs>
        <w:ind w:left="720" w:hanging="360"/>
      </w:pPr>
      <w:rPr>
        <w:rFonts w:hint="default" w:cs="Times New Roman"/>
        <w:b w:val="0"/>
        <w:sz w:val="24"/>
        <w:szCs w:val="24"/>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0">
    <w:nsid w:val="623A09D1"/>
    <w:multiLevelType w:val="multilevel"/>
    <w:tmpl w:val="623A09D1"/>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1">
    <w:nsid w:val="6BC82682"/>
    <w:multiLevelType w:val="multilevel"/>
    <w:tmpl w:val="6BC82682"/>
    <w:lvl w:ilvl="0" w:tentative="0">
      <w:start w:val="3"/>
      <w:numFmt w:val="decimal"/>
      <w:lvlText w:val="%1."/>
      <w:lvlJc w:val="left"/>
      <w:pPr>
        <w:tabs>
          <w:tab w:val="left" w:pos="645"/>
        </w:tabs>
        <w:ind w:left="645" w:hanging="645"/>
      </w:pPr>
      <w:rPr>
        <w:rFonts w:hint="default" w:cs="Times New Roman"/>
      </w:rPr>
    </w:lvl>
    <w:lvl w:ilvl="1" w:tentative="0">
      <w:start w:val="16"/>
      <w:numFmt w:val="decimal"/>
      <w:lvlText w:val="%1.%2."/>
      <w:lvlJc w:val="left"/>
      <w:pPr>
        <w:tabs>
          <w:tab w:val="left" w:pos="1429"/>
        </w:tabs>
        <w:ind w:left="1429" w:hanging="720"/>
      </w:pPr>
      <w:rPr>
        <w:rFonts w:hint="default" w:cs="Times New Roman"/>
      </w:rPr>
    </w:lvl>
    <w:lvl w:ilvl="2" w:tentative="0">
      <w:start w:val="1"/>
      <w:numFmt w:val="decimal"/>
      <w:lvlText w:val="%1.%2.%3."/>
      <w:lvlJc w:val="left"/>
      <w:pPr>
        <w:tabs>
          <w:tab w:val="left" w:pos="2138"/>
        </w:tabs>
        <w:ind w:left="2138" w:hanging="720"/>
      </w:pPr>
      <w:rPr>
        <w:rFonts w:hint="default" w:cs="Times New Roman"/>
      </w:rPr>
    </w:lvl>
    <w:lvl w:ilvl="3" w:tentative="0">
      <w:start w:val="1"/>
      <w:numFmt w:val="decimal"/>
      <w:lvlText w:val="%1.%2.%3.%4."/>
      <w:lvlJc w:val="left"/>
      <w:pPr>
        <w:tabs>
          <w:tab w:val="left" w:pos="3207"/>
        </w:tabs>
        <w:ind w:left="3207" w:hanging="1080"/>
      </w:pPr>
      <w:rPr>
        <w:rFonts w:hint="default" w:cs="Times New Roman"/>
      </w:rPr>
    </w:lvl>
    <w:lvl w:ilvl="4" w:tentative="0">
      <w:start w:val="1"/>
      <w:numFmt w:val="decimal"/>
      <w:lvlText w:val="%1.%2.%3.%4.%5."/>
      <w:lvlJc w:val="left"/>
      <w:pPr>
        <w:tabs>
          <w:tab w:val="left" w:pos="4276"/>
        </w:tabs>
        <w:ind w:left="4276" w:hanging="1440"/>
      </w:pPr>
      <w:rPr>
        <w:rFonts w:hint="default" w:cs="Times New Roman"/>
      </w:rPr>
    </w:lvl>
    <w:lvl w:ilvl="5" w:tentative="0">
      <w:start w:val="1"/>
      <w:numFmt w:val="decimal"/>
      <w:lvlText w:val="%1.%2.%3.%4.%5.%6."/>
      <w:lvlJc w:val="left"/>
      <w:pPr>
        <w:tabs>
          <w:tab w:val="left" w:pos="4985"/>
        </w:tabs>
        <w:ind w:left="4985" w:hanging="1440"/>
      </w:pPr>
      <w:rPr>
        <w:rFonts w:hint="default" w:cs="Times New Roman"/>
      </w:rPr>
    </w:lvl>
    <w:lvl w:ilvl="6" w:tentative="0">
      <w:start w:val="1"/>
      <w:numFmt w:val="decimal"/>
      <w:lvlText w:val="%1.%2.%3.%4.%5.%6.%7."/>
      <w:lvlJc w:val="left"/>
      <w:pPr>
        <w:tabs>
          <w:tab w:val="left" w:pos="6054"/>
        </w:tabs>
        <w:ind w:left="6054" w:hanging="1800"/>
      </w:pPr>
      <w:rPr>
        <w:rFonts w:hint="default" w:cs="Times New Roman"/>
      </w:rPr>
    </w:lvl>
    <w:lvl w:ilvl="7" w:tentative="0">
      <w:start w:val="1"/>
      <w:numFmt w:val="decimal"/>
      <w:lvlText w:val="%1.%2.%3.%4.%5.%6.%7.%8."/>
      <w:lvlJc w:val="left"/>
      <w:pPr>
        <w:tabs>
          <w:tab w:val="left" w:pos="7123"/>
        </w:tabs>
        <w:ind w:left="7123" w:hanging="2160"/>
      </w:pPr>
      <w:rPr>
        <w:rFonts w:hint="default" w:cs="Times New Roman"/>
      </w:rPr>
    </w:lvl>
    <w:lvl w:ilvl="8" w:tentative="0">
      <w:start w:val="1"/>
      <w:numFmt w:val="decimal"/>
      <w:lvlText w:val="%1.%2.%3.%4.%5.%6.%7.%8.%9."/>
      <w:lvlJc w:val="left"/>
      <w:pPr>
        <w:tabs>
          <w:tab w:val="left" w:pos="7832"/>
        </w:tabs>
        <w:ind w:left="7832" w:hanging="2160"/>
      </w:pPr>
      <w:rPr>
        <w:rFonts w:hint="default" w:cs="Times New Roman"/>
      </w:rPr>
    </w:lvl>
  </w:abstractNum>
  <w:abstractNum w:abstractNumId="12">
    <w:nsid w:val="6FD51D73"/>
    <w:multiLevelType w:val="multilevel"/>
    <w:tmpl w:val="6FD51D73"/>
    <w:lvl w:ilvl="0" w:tentative="0">
      <w:start w:val="1"/>
      <w:numFmt w:val="decimal"/>
      <w:lvlText w:val="%1."/>
      <w:lvlJc w:val="left"/>
      <w:pPr>
        <w:tabs>
          <w:tab w:val="left" w:pos="511"/>
        </w:tabs>
        <w:ind w:left="-283"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num>
  <w:num w:numId="6">
    <w:abstractNumId w:val="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910630"/>
    <w:rsid w:val="0000225E"/>
    <w:rsid w:val="00007462"/>
    <w:rsid w:val="001266A8"/>
    <w:rsid w:val="00126D04"/>
    <w:rsid w:val="00171A26"/>
    <w:rsid w:val="001F48B6"/>
    <w:rsid w:val="00440958"/>
    <w:rsid w:val="00447A27"/>
    <w:rsid w:val="00471A6B"/>
    <w:rsid w:val="004F23E3"/>
    <w:rsid w:val="005341A4"/>
    <w:rsid w:val="00586BD9"/>
    <w:rsid w:val="005C546F"/>
    <w:rsid w:val="00611801"/>
    <w:rsid w:val="00660A28"/>
    <w:rsid w:val="00872E94"/>
    <w:rsid w:val="00910630"/>
    <w:rsid w:val="00A025A1"/>
    <w:rsid w:val="00A30203"/>
    <w:rsid w:val="00A455E1"/>
    <w:rsid w:val="00A503B0"/>
    <w:rsid w:val="00B8214C"/>
    <w:rsid w:val="00DB7079"/>
    <w:rsid w:val="00EB23E2"/>
    <w:rsid w:val="00EB3239"/>
    <w:rsid w:val="00FF6553"/>
    <w:rsid w:val="6BB24A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qFormat="1"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nhideWhenUsed="0" w:uiPriority="99" w:semiHidden="0" w:name="Body Text 3"/>
    <w:lsdException w:uiPriority="0" w:semiHidden="0" w:name="Body Text Indent 2"/>
    <w:lsdException w:unhideWhenUsed="0" w:uiPriority="99"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34"/>
    <w:qFormat/>
    <w:uiPriority w:val="9"/>
    <w:pPr>
      <w:keepNext/>
      <w:autoSpaceDE w:val="0"/>
      <w:autoSpaceDN w:val="0"/>
      <w:spacing w:before="240" w:after="60" w:line="240" w:lineRule="auto"/>
      <w:outlineLvl w:val="0"/>
    </w:pPr>
    <w:rPr>
      <w:rFonts w:ascii="Cambria" w:hAnsi="Cambria" w:eastAsia="Times New Roman" w:cs="Times New Roman"/>
      <w:b/>
      <w:bCs/>
      <w:kern w:val="32"/>
      <w:sz w:val="32"/>
      <w:szCs w:val="32"/>
      <w:lang w:eastAsia="ru-RU"/>
    </w:rPr>
  </w:style>
  <w:style w:type="paragraph" w:styleId="3">
    <w:name w:val="heading 2"/>
    <w:basedOn w:val="1"/>
    <w:next w:val="1"/>
    <w:link w:val="35"/>
    <w:qFormat/>
    <w:uiPriority w:val="9"/>
    <w:pPr>
      <w:keepNext/>
      <w:spacing w:before="240" w:after="60" w:line="240" w:lineRule="auto"/>
      <w:outlineLvl w:val="1"/>
    </w:pPr>
    <w:rPr>
      <w:rFonts w:ascii="Arial" w:hAnsi="Arial" w:eastAsia="Times New Roman" w:cs="Arial"/>
      <w:b/>
      <w:bCs/>
      <w:i/>
      <w:iCs/>
      <w:sz w:val="28"/>
      <w:szCs w:val="28"/>
      <w:lang w:eastAsia="ru-RU"/>
    </w:rPr>
  </w:style>
  <w:style w:type="paragraph" w:styleId="4">
    <w:name w:val="heading 3"/>
    <w:basedOn w:val="1"/>
    <w:next w:val="1"/>
    <w:link w:val="36"/>
    <w:unhideWhenUsed/>
    <w:qFormat/>
    <w:uiPriority w:val="9"/>
    <w:pPr>
      <w:keepNext/>
      <w:keepLines/>
      <w:spacing w:before="200" w:after="0"/>
      <w:outlineLvl w:val="2"/>
    </w:pPr>
    <w:rPr>
      <w:rFonts w:asciiTheme="majorHAnsi" w:hAnsiTheme="majorHAnsi" w:eastAsiaTheme="majorEastAsia" w:cstheme="majorBidi"/>
      <w:b/>
      <w:bCs/>
      <w:color w:val="5B9BD5" w:themeColor="accent1"/>
    </w:rPr>
  </w:style>
  <w:style w:type="paragraph" w:styleId="5">
    <w:name w:val="heading 4"/>
    <w:basedOn w:val="1"/>
    <w:next w:val="1"/>
    <w:link w:val="37"/>
    <w:qFormat/>
    <w:uiPriority w:val="9"/>
    <w:pPr>
      <w:keepNext/>
      <w:tabs>
        <w:tab w:val="left" w:pos="0"/>
      </w:tabs>
      <w:autoSpaceDE w:val="0"/>
      <w:autoSpaceDN w:val="0"/>
      <w:spacing w:after="0" w:line="240" w:lineRule="auto"/>
      <w:ind w:firstLine="851"/>
      <w:jc w:val="center"/>
      <w:outlineLvl w:val="3"/>
    </w:pPr>
    <w:rPr>
      <w:rFonts w:ascii="Calibri" w:hAnsi="Calibri" w:eastAsia="Times New Roman" w:cs="Times New Roman"/>
      <w:b/>
      <w:bCs/>
      <w:sz w:val="28"/>
      <w:szCs w:val="28"/>
      <w:lang w:eastAsia="ru-RU"/>
    </w:rPr>
  </w:style>
  <w:style w:type="paragraph" w:styleId="6">
    <w:name w:val="heading 5"/>
    <w:basedOn w:val="1"/>
    <w:next w:val="1"/>
    <w:link w:val="38"/>
    <w:qFormat/>
    <w:uiPriority w:val="9"/>
    <w:pPr>
      <w:autoSpaceDE w:val="0"/>
      <w:autoSpaceDN w:val="0"/>
      <w:spacing w:before="240" w:after="60" w:line="240" w:lineRule="auto"/>
      <w:outlineLvl w:val="4"/>
    </w:pPr>
    <w:rPr>
      <w:rFonts w:ascii="Calibri" w:hAnsi="Calibri" w:eastAsia="Times New Roman" w:cs="Times New Roman"/>
      <w:b/>
      <w:bCs/>
      <w:i/>
      <w:iCs/>
      <w:sz w:val="26"/>
      <w:szCs w:val="26"/>
      <w:lang w:eastAsia="ru-RU"/>
    </w:rPr>
  </w:style>
  <w:style w:type="paragraph" w:styleId="7">
    <w:name w:val="heading 6"/>
    <w:basedOn w:val="1"/>
    <w:next w:val="1"/>
    <w:link w:val="39"/>
    <w:qFormat/>
    <w:uiPriority w:val="9"/>
    <w:pPr>
      <w:autoSpaceDE w:val="0"/>
      <w:autoSpaceDN w:val="0"/>
      <w:spacing w:before="240" w:after="60" w:line="240" w:lineRule="auto"/>
      <w:outlineLvl w:val="5"/>
    </w:pPr>
    <w:rPr>
      <w:rFonts w:ascii="Calibri" w:hAnsi="Calibri" w:eastAsia="Times New Roman" w:cs="Times New Roman"/>
      <w:b/>
      <w:bCs/>
      <w:sz w:val="20"/>
      <w:szCs w:val="20"/>
      <w:lang w:eastAsia="ru-RU"/>
    </w:rPr>
  </w:style>
  <w:style w:type="paragraph" w:styleId="8">
    <w:name w:val="heading 7"/>
    <w:basedOn w:val="1"/>
    <w:next w:val="1"/>
    <w:link w:val="40"/>
    <w:qFormat/>
    <w:uiPriority w:val="9"/>
    <w:pPr>
      <w:keepNext/>
      <w:autoSpaceDE w:val="0"/>
      <w:autoSpaceDN w:val="0"/>
      <w:spacing w:after="0" w:line="240" w:lineRule="auto"/>
      <w:outlineLvl w:val="6"/>
    </w:pPr>
    <w:rPr>
      <w:rFonts w:ascii="Calibri" w:hAnsi="Calibri" w:eastAsia="Times New Roman" w:cs="Times New Roman"/>
      <w:sz w:val="24"/>
      <w:szCs w:val="24"/>
      <w:lang w:eastAsia="ru-RU"/>
    </w:rPr>
  </w:style>
  <w:style w:type="paragraph" w:styleId="9">
    <w:name w:val="heading 8"/>
    <w:basedOn w:val="1"/>
    <w:next w:val="1"/>
    <w:link w:val="41"/>
    <w:qFormat/>
    <w:uiPriority w:val="9"/>
    <w:pPr>
      <w:keepNext/>
      <w:autoSpaceDE w:val="0"/>
      <w:autoSpaceDN w:val="0"/>
      <w:spacing w:after="0" w:line="360" w:lineRule="auto"/>
      <w:ind w:firstLine="709"/>
      <w:jc w:val="right"/>
      <w:outlineLvl w:val="7"/>
    </w:pPr>
    <w:rPr>
      <w:rFonts w:ascii="Calibri" w:hAnsi="Calibri" w:eastAsia="Times New Roman" w:cs="Times New Roman"/>
      <w:i/>
      <w:iCs/>
      <w:sz w:val="24"/>
      <w:szCs w:val="24"/>
      <w:lang w:eastAsia="ru-RU"/>
    </w:rPr>
  </w:style>
  <w:style w:type="paragraph" w:styleId="10">
    <w:name w:val="heading 9"/>
    <w:basedOn w:val="1"/>
    <w:next w:val="1"/>
    <w:link w:val="42"/>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11">
    <w:name w:val="Default Paragraph Font"/>
    <w:semiHidden/>
    <w:unhideWhenUsed/>
    <w:uiPriority w:val="1"/>
  </w:style>
  <w:style w:type="table" w:default="1" w:styleId="12">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3">
    <w:name w:val="FollowedHyperlink"/>
    <w:basedOn w:val="11"/>
    <w:semiHidden/>
    <w:unhideWhenUsed/>
    <w:uiPriority w:val="99"/>
    <w:rPr>
      <w:color w:val="954F72" w:themeColor="followedHyperlink"/>
      <w:u w:val="single"/>
    </w:rPr>
  </w:style>
  <w:style w:type="character" w:styleId="14">
    <w:name w:val="footnote reference"/>
    <w:semiHidden/>
    <w:qFormat/>
    <w:uiPriority w:val="99"/>
    <w:rPr>
      <w:rFonts w:cs="Times New Roman"/>
      <w:vertAlign w:val="superscript"/>
    </w:rPr>
  </w:style>
  <w:style w:type="character" w:styleId="15">
    <w:name w:val="annotation reference"/>
    <w:semiHidden/>
    <w:uiPriority w:val="99"/>
    <w:rPr>
      <w:rFonts w:cs="Times New Roman"/>
      <w:sz w:val="16"/>
      <w:szCs w:val="16"/>
    </w:rPr>
  </w:style>
  <w:style w:type="character" w:styleId="16">
    <w:name w:val="Hyperlink"/>
    <w:semiHidden/>
    <w:unhideWhenUsed/>
    <w:qFormat/>
    <w:uiPriority w:val="99"/>
    <w:rPr>
      <w:color w:val="0000FF"/>
      <w:u w:val="single"/>
    </w:rPr>
  </w:style>
  <w:style w:type="character" w:styleId="17">
    <w:name w:val="page number"/>
    <w:uiPriority w:val="99"/>
    <w:rPr>
      <w:rFonts w:cs="Times New Roman"/>
    </w:rPr>
  </w:style>
  <w:style w:type="character" w:styleId="18">
    <w:name w:val="Strong"/>
    <w:qFormat/>
    <w:uiPriority w:val="22"/>
    <w:rPr>
      <w:rFonts w:cs="Times New Roman"/>
      <w:b/>
      <w:bCs/>
    </w:rPr>
  </w:style>
  <w:style w:type="paragraph" w:styleId="19">
    <w:name w:val="Balloon Text"/>
    <w:basedOn w:val="1"/>
    <w:link w:val="56"/>
    <w:semiHidden/>
    <w:qFormat/>
    <w:uiPriority w:val="99"/>
    <w:pPr>
      <w:autoSpaceDE w:val="0"/>
      <w:autoSpaceDN w:val="0"/>
      <w:spacing w:after="0" w:line="240" w:lineRule="auto"/>
    </w:pPr>
    <w:rPr>
      <w:rFonts w:ascii="Tahoma" w:hAnsi="Tahoma" w:eastAsia="Times New Roman" w:cs="Times New Roman"/>
      <w:sz w:val="16"/>
      <w:szCs w:val="16"/>
      <w:lang w:eastAsia="ru-RU"/>
    </w:rPr>
  </w:style>
  <w:style w:type="paragraph" w:styleId="20">
    <w:name w:val="Body Text 2"/>
    <w:basedOn w:val="1"/>
    <w:link w:val="48"/>
    <w:unhideWhenUsed/>
    <w:qFormat/>
    <w:uiPriority w:val="99"/>
    <w:pPr>
      <w:spacing w:after="120" w:line="480" w:lineRule="auto"/>
    </w:pPr>
  </w:style>
  <w:style w:type="paragraph" w:styleId="21">
    <w:name w:val="Body Text Indent 3"/>
    <w:basedOn w:val="1"/>
    <w:link w:val="46"/>
    <w:uiPriority w:val="99"/>
    <w:pPr>
      <w:autoSpaceDE w:val="0"/>
      <w:autoSpaceDN w:val="0"/>
      <w:spacing w:after="120" w:line="240" w:lineRule="auto"/>
      <w:ind w:left="283"/>
    </w:pPr>
    <w:rPr>
      <w:rFonts w:ascii="Times New Roman" w:hAnsi="Times New Roman" w:eastAsia="Times New Roman" w:cs="Times New Roman"/>
      <w:sz w:val="16"/>
      <w:szCs w:val="16"/>
      <w:lang w:eastAsia="ru-RU"/>
    </w:rPr>
  </w:style>
  <w:style w:type="paragraph" w:styleId="22">
    <w:name w:val="annotation text"/>
    <w:basedOn w:val="1"/>
    <w:link w:val="54"/>
    <w:semiHidden/>
    <w:qFormat/>
    <w:uiPriority w:val="99"/>
    <w:pPr>
      <w:autoSpaceDE w:val="0"/>
      <w:autoSpaceDN w:val="0"/>
      <w:spacing w:after="0" w:line="240" w:lineRule="auto"/>
    </w:pPr>
    <w:rPr>
      <w:rFonts w:ascii="Times New Roman" w:hAnsi="Times New Roman" w:eastAsia="Times New Roman" w:cs="Times New Roman"/>
      <w:sz w:val="20"/>
      <w:szCs w:val="20"/>
      <w:lang w:eastAsia="ru-RU"/>
    </w:rPr>
  </w:style>
  <w:style w:type="paragraph" w:styleId="23">
    <w:name w:val="footnote text"/>
    <w:basedOn w:val="1"/>
    <w:link w:val="55"/>
    <w:semiHidden/>
    <w:uiPriority w:val="99"/>
    <w:pPr>
      <w:autoSpaceDE w:val="0"/>
      <w:autoSpaceDN w:val="0"/>
      <w:spacing w:after="0" w:line="240" w:lineRule="auto"/>
    </w:pPr>
    <w:rPr>
      <w:rFonts w:ascii="Times New Roman" w:hAnsi="Times New Roman" w:eastAsia="Times New Roman" w:cs="Times New Roman"/>
      <w:sz w:val="20"/>
      <w:szCs w:val="20"/>
      <w:lang w:eastAsia="ru-RU"/>
    </w:rPr>
  </w:style>
  <w:style w:type="paragraph" w:styleId="24">
    <w:name w:val="header"/>
    <w:basedOn w:val="1"/>
    <w:link w:val="50"/>
    <w:qFormat/>
    <w:uiPriority w:val="99"/>
    <w:pPr>
      <w:tabs>
        <w:tab w:val="center" w:pos="4153"/>
        <w:tab w:val="right" w:pos="8306"/>
      </w:tabs>
      <w:autoSpaceDE w:val="0"/>
      <w:autoSpaceDN w:val="0"/>
      <w:spacing w:after="0" w:line="240" w:lineRule="auto"/>
    </w:pPr>
    <w:rPr>
      <w:rFonts w:ascii="Times New Roman" w:hAnsi="Times New Roman" w:eastAsia="Times New Roman" w:cs="Times New Roman"/>
      <w:sz w:val="20"/>
      <w:szCs w:val="20"/>
      <w:lang w:eastAsia="ru-RU"/>
    </w:rPr>
  </w:style>
  <w:style w:type="paragraph" w:styleId="25">
    <w:name w:val="Body Text"/>
    <w:basedOn w:val="1"/>
    <w:link w:val="43"/>
    <w:qFormat/>
    <w:uiPriority w:val="0"/>
    <w:pPr>
      <w:spacing w:after="120" w:line="240" w:lineRule="auto"/>
    </w:pPr>
    <w:rPr>
      <w:rFonts w:ascii="Times New Roman" w:hAnsi="Times New Roman" w:eastAsia="Times New Roman" w:cs="Times New Roman"/>
      <w:sz w:val="28"/>
      <w:szCs w:val="24"/>
      <w:lang w:eastAsia="ru-RU"/>
    </w:rPr>
  </w:style>
  <w:style w:type="paragraph" w:styleId="26">
    <w:name w:val="Body Text Indent"/>
    <w:basedOn w:val="1"/>
    <w:link w:val="45"/>
    <w:uiPriority w:val="99"/>
    <w:pPr>
      <w:autoSpaceDE w:val="0"/>
      <w:autoSpaceDN w:val="0"/>
      <w:spacing w:after="120" w:line="240" w:lineRule="auto"/>
      <w:ind w:left="283"/>
    </w:pPr>
    <w:rPr>
      <w:rFonts w:ascii="Times New Roman" w:hAnsi="Times New Roman" w:eastAsia="Times New Roman" w:cs="Times New Roman"/>
      <w:sz w:val="20"/>
      <w:szCs w:val="20"/>
      <w:lang w:eastAsia="ru-RU"/>
    </w:rPr>
  </w:style>
  <w:style w:type="paragraph" w:styleId="27">
    <w:name w:val="Title"/>
    <w:basedOn w:val="1"/>
    <w:link w:val="52"/>
    <w:qFormat/>
    <w:uiPriority w:val="10"/>
    <w:pPr>
      <w:autoSpaceDE w:val="0"/>
      <w:autoSpaceDN w:val="0"/>
      <w:spacing w:after="0" w:line="240" w:lineRule="auto"/>
      <w:jc w:val="center"/>
    </w:pPr>
    <w:rPr>
      <w:rFonts w:ascii="Cambria" w:hAnsi="Cambria" w:eastAsia="Times New Roman" w:cs="Times New Roman"/>
      <w:b/>
      <w:bCs/>
      <w:kern w:val="28"/>
      <w:sz w:val="32"/>
      <w:szCs w:val="32"/>
      <w:lang w:eastAsia="ru-RU"/>
    </w:rPr>
  </w:style>
  <w:style w:type="paragraph" w:styleId="28">
    <w:name w:val="footer"/>
    <w:basedOn w:val="1"/>
    <w:link w:val="51"/>
    <w:uiPriority w:val="99"/>
    <w:pPr>
      <w:tabs>
        <w:tab w:val="center" w:pos="4677"/>
        <w:tab w:val="right" w:pos="9355"/>
      </w:tabs>
      <w:autoSpaceDE w:val="0"/>
      <w:autoSpaceDN w:val="0"/>
      <w:spacing w:after="0" w:line="240" w:lineRule="auto"/>
    </w:pPr>
    <w:rPr>
      <w:rFonts w:ascii="Times New Roman" w:hAnsi="Times New Roman" w:eastAsia="Times New Roman" w:cs="Times New Roman"/>
      <w:sz w:val="20"/>
      <w:szCs w:val="20"/>
      <w:lang w:eastAsia="ru-RU"/>
    </w:rPr>
  </w:style>
  <w:style w:type="paragraph" w:styleId="29">
    <w:name w:val="Normal (Web)"/>
    <w:basedOn w:val="1"/>
    <w:uiPriority w:val="0"/>
    <w:pPr>
      <w:spacing w:before="100" w:beforeAutospacing="1" w:after="100" w:afterAutospacing="1" w:line="240" w:lineRule="auto"/>
    </w:pPr>
    <w:rPr>
      <w:rFonts w:ascii="Times New Roman" w:hAnsi="Times New Roman" w:eastAsia="Times New Roman" w:cs="Times New Roman"/>
      <w:color w:val="000000"/>
      <w:sz w:val="24"/>
      <w:szCs w:val="24"/>
      <w:lang w:eastAsia="ru-RU"/>
    </w:rPr>
  </w:style>
  <w:style w:type="paragraph" w:styleId="30">
    <w:name w:val="Body Text 3"/>
    <w:basedOn w:val="1"/>
    <w:link w:val="53"/>
    <w:uiPriority w:val="99"/>
    <w:pPr>
      <w:autoSpaceDE w:val="0"/>
      <w:autoSpaceDN w:val="0"/>
      <w:spacing w:after="120" w:line="240" w:lineRule="auto"/>
    </w:pPr>
    <w:rPr>
      <w:rFonts w:ascii="Times New Roman" w:hAnsi="Times New Roman" w:eastAsia="Times New Roman" w:cs="Times New Roman"/>
      <w:sz w:val="16"/>
      <w:szCs w:val="16"/>
      <w:lang w:eastAsia="ru-RU"/>
    </w:rPr>
  </w:style>
  <w:style w:type="paragraph" w:styleId="31">
    <w:name w:val="Body Text Indent 2"/>
    <w:basedOn w:val="1"/>
    <w:link w:val="47"/>
    <w:unhideWhenUsed/>
    <w:uiPriority w:val="0"/>
    <w:pPr>
      <w:spacing w:after="120" w:line="480" w:lineRule="auto"/>
      <w:ind w:left="283"/>
    </w:pPr>
  </w:style>
  <w:style w:type="paragraph" w:styleId="32">
    <w:name w:val="Subtitle"/>
    <w:basedOn w:val="1"/>
    <w:link w:val="49"/>
    <w:qFormat/>
    <w:uiPriority w:val="11"/>
    <w:pPr>
      <w:autoSpaceDE w:val="0"/>
      <w:autoSpaceDN w:val="0"/>
      <w:spacing w:after="0" w:line="240" w:lineRule="auto"/>
      <w:jc w:val="center"/>
    </w:pPr>
    <w:rPr>
      <w:rFonts w:ascii="Cambria" w:hAnsi="Cambria" w:eastAsia="Times New Roman" w:cs="Times New Roman"/>
      <w:sz w:val="24"/>
      <w:szCs w:val="24"/>
      <w:lang w:eastAsia="ru-RU"/>
    </w:rPr>
  </w:style>
  <w:style w:type="table" w:styleId="33">
    <w:name w:val="Table Grid"/>
    <w:basedOn w:val="12"/>
    <w:uiPriority w:val="99"/>
    <w:pPr>
      <w:autoSpaceDE w:val="0"/>
      <w:autoSpaceDN w:val="0"/>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4">
    <w:name w:val="Заголовок 1 Знак"/>
    <w:basedOn w:val="11"/>
    <w:link w:val="2"/>
    <w:uiPriority w:val="9"/>
    <w:rPr>
      <w:rFonts w:ascii="Cambria" w:hAnsi="Cambria" w:eastAsia="Times New Roman" w:cs="Times New Roman"/>
      <w:b/>
      <w:bCs/>
      <w:kern w:val="32"/>
      <w:sz w:val="32"/>
      <w:szCs w:val="32"/>
      <w:lang w:eastAsia="ru-RU"/>
    </w:rPr>
  </w:style>
  <w:style w:type="character" w:customStyle="1" w:styleId="35">
    <w:name w:val="Заголовок 2 Знак"/>
    <w:basedOn w:val="11"/>
    <w:link w:val="3"/>
    <w:qFormat/>
    <w:uiPriority w:val="9"/>
    <w:rPr>
      <w:rFonts w:ascii="Arial" w:hAnsi="Arial" w:eastAsia="Times New Roman" w:cs="Arial"/>
      <w:b/>
      <w:bCs/>
      <w:i/>
      <w:iCs/>
      <w:sz w:val="28"/>
      <w:szCs w:val="28"/>
      <w:lang w:eastAsia="ru-RU"/>
    </w:rPr>
  </w:style>
  <w:style w:type="character" w:customStyle="1" w:styleId="36">
    <w:name w:val="Заголовок 3 Знак"/>
    <w:basedOn w:val="11"/>
    <w:link w:val="4"/>
    <w:qFormat/>
    <w:uiPriority w:val="9"/>
    <w:rPr>
      <w:rFonts w:asciiTheme="majorHAnsi" w:hAnsiTheme="majorHAnsi" w:eastAsiaTheme="majorEastAsia" w:cstheme="majorBidi"/>
      <w:b/>
      <w:bCs/>
      <w:color w:val="5B9BD5" w:themeColor="accent1"/>
    </w:rPr>
  </w:style>
  <w:style w:type="character" w:customStyle="1" w:styleId="37">
    <w:name w:val="Заголовок 4 Знак"/>
    <w:basedOn w:val="11"/>
    <w:link w:val="5"/>
    <w:qFormat/>
    <w:uiPriority w:val="9"/>
    <w:rPr>
      <w:rFonts w:ascii="Calibri" w:hAnsi="Calibri" w:eastAsia="Times New Roman" w:cs="Times New Roman"/>
      <w:b/>
      <w:bCs/>
      <w:sz w:val="28"/>
      <w:szCs w:val="28"/>
      <w:lang w:eastAsia="ru-RU"/>
    </w:rPr>
  </w:style>
  <w:style w:type="character" w:customStyle="1" w:styleId="38">
    <w:name w:val="Заголовок 5 Знак"/>
    <w:basedOn w:val="11"/>
    <w:link w:val="6"/>
    <w:uiPriority w:val="9"/>
    <w:rPr>
      <w:rFonts w:ascii="Calibri" w:hAnsi="Calibri" w:eastAsia="Times New Roman" w:cs="Times New Roman"/>
      <w:b/>
      <w:bCs/>
      <w:i/>
      <w:iCs/>
      <w:sz w:val="26"/>
      <w:szCs w:val="26"/>
      <w:lang w:eastAsia="ru-RU"/>
    </w:rPr>
  </w:style>
  <w:style w:type="character" w:customStyle="1" w:styleId="39">
    <w:name w:val="Заголовок 6 Знак"/>
    <w:basedOn w:val="11"/>
    <w:link w:val="7"/>
    <w:qFormat/>
    <w:uiPriority w:val="9"/>
    <w:rPr>
      <w:rFonts w:ascii="Calibri" w:hAnsi="Calibri" w:eastAsia="Times New Roman" w:cs="Times New Roman"/>
      <w:b/>
      <w:bCs/>
      <w:sz w:val="20"/>
      <w:szCs w:val="20"/>
      <w:lang w:eastAsia="ru-RU"/>
    </w:rPr>
  </w:style>
  <w:style w:type="character" w:customStyle="1" w:styleId="40">
    <w:name w:val="Заголовок 7 Знак"/>
    <w:basedOn w:val="11"/>
    <w:link w:val="8"/>
    <w:qFormat/>
    <w:uiPriority w:val="9"/>
    <w:rPr>
      <w:rFonts w:ascii="Calibri" w:hAnsi="Calibri" w:eastAsia="Times New Roman" w:cs="Times New Roman"/>
      <w:sz w:val="24"/>
      <w:szCs w:val="24"/>
      <w:lang w:eastAsia="ru-RU"/>
    </w:rPr>
  </w:style>
  <w:style w:type="character" w:customStyle="1" w:styleId="41">
    <w:name w:val="Заголовок 8 Знак"/>
    <w:basedOn w:val="11"/>
    <w:link w:val="9"/>
    <w:qFormat/>
    <w:uiPriority w:val="9"/>
    <w:rPr>
      <w:rFonts w:ascii="Calibri" w:hAnsi="Calibri" w:eastAsia="Times New Roman" w:cs="Times New Roman"/>
      <w:i/>
      <w:iCs/>
      <w:sz w:val="24"/>
      <w:szCs w:val="24"/>
      <w:lang w:eastAsia="ru-RU"/>
    </w:rPr>
  </w:style>
  <w:style w:type="character" w:customStyle="1" w:styleId="42">
    <w:name w:val="Заголовок 9 Знак"/>
    <w:basedOn w:val="11"/>
    <w:link w:val="10"/>
    <w:qFormat/>
    <w:uiPriority w:val="9"/>
    <w:rPr>
      <w:rFonts w:asciiTheme="majorHAnsi" w:hAnsiTheme="majorHAnsi" w:eastAsiaTheme="majorEastAsia" w:cstheme="majorBidi"/>
      <w:i/>
      <w:iCs/>
      <w:color w:val="3F3F3F" w:themeColor="text1" w:themeTint="BF"/>
      <w:sz w:val="20"/>
      <w:szCs w:val="20"/>
    </w:rPr>
  </w:style>
  <w:style w:type="character" w:customStyle="1" w:styleId="43">
    <w:name w:val="Основной текст Знак"/>
    <w:basedOn w:val="11"/>
    <w:link w:val="25"/>
    <w:qFormat/>
    <w:uiPriority w:val="0"/>
    <w:rPr>
      <w:rFonts w:ascii="Times New Roman" w:hAnsi="Times New Roman" w:eastAsia="Times New Roman" w:cs="Times New Roman"/>
      <w:sz w:val="28"/>
      <w:szCs w:val="24"/>
      <w:lang w:eastAsia="ru-RU"/>
    </w:rPr>
  </w:style>
  <w:style w:type="paragraph" w:styleId="44">
    <w:name w:val="List Paragraph"/>
    <w:basedOn w:val="1"/>
    <w:qFormat/>
    <w:uiPriority w:val="34"/>
    <w:pPr>
      <w:ind w:left="720"/>
      <w:contextualSpacing/>
    </w:pPr>
  </w:style>
  <w:style w:type="character" w:customStyle="1" w:styleId="45">
    <w:name w:val="Основной текст с отступом Знак"/>
    <w:basedOn w:val="11"/>
    <w:link w:val="26"/>
    <w:qFormat/>
    <w:uiPriority w:val="99"/>
    <w:rPr>
      <w:rFonts w:ascii="Times New Roman" w:hAnsi="Times New Roman" w:eastAsia="Times New Roman" w:cs="Times New Roman"/>
      <w:sz w:val="20"/>
      <w:szCs w:val="20"/>
      <w:lang w:eastAsia="ru-RU"/>
    </w:rPr>
  </w:style>
  <w:style w:type="character" w:customStyle="1" w:styleId="46">
    <w:name w:val="Основной текст с отступом 3 Знак"/>
    <w:basedOn w:val="11"/>
    <w:link w:val="21"/>
    <w:uiPriority w:val="99"/>
    <w:rPr>
      <w:rFonts w:ascii="Times New Roman" w:hAnsi="Times New Roman" w:eastAsia="Times New Roman" w:cs="Times New Roman"/>
      <w:sz w:val="16"/>
      <w:szCs w:val="16"/>
      <w:lang w:eastAsia="ru-RU"/>
    </w:rPr>
  </w:style>
  <w:style w:type="character" w:customStyle="1" w:styleId="47">
    <w:name w:val="Основной текст с отступом 2 Знак"/>
    <w:basedOn w:val="11"/>
    <w:link w:val="31"/>
    <w:uiPriority w:val="0"/>
  </w:style>
  <w:style w:type="character" w:customStyle="1" w:styleId="48">
    <w:name w:val="Основной текст 2 Знак"/>
    <w:basedOn w:val="11"/>
    <w:link w:val="20"/>
    <w:qFormat/>
    <w:uiPriority w:val="99"/>
  </w:style>
  <w:style w:type="character" w:customStyle="1" w:styleId="49">
    <w:name w:val="Подзаголовок Знак"/>
    <w:basedOn w:val="11"/>
    <w:link w:val="32"/>
    <w:qFormat/>
    <w:uiPriority w:val="11"/>
    <w:rPr>
      <w:rFonts w:ascii="Cambria" w:hAnsi="Cambria" w:eastAsia="Times New Roman" w:cs="Times New Roman"/>
      <w:sz w:val="24"/>
      <w:szCs w:val="24"/>
      <w:lang w:eastAsia="ru-RU"/>
    </w:rPr>
  </w:style>
  <w:style w:type="character" w:customStyle="1" w:styleId="50">
    <w:name w:val="Верхний колонтитул Знак"/>
    <w:basedOn w:val="11"/>
    <w:link w:val="24"/>
    <w:uiPriority w:val="99"/>
    <w:rPr>
      <w:rFonts w:ascii="Times New Roman" w:hAnsi="Times New Roman" w:eastAsia="Times New Roman" w:cs="Times New Roman"/>
      <w:sz w:val="20"/>
      <w:szCs w:val="20"/>
      <w:lang w:eastAsia="ru-RU"/>
    </w:rPr>
  </w:style>
  <w:style w:type="character" w:customStyle="1" w:styleId="51">
    <w:name w:val="Нижний колонтитул Знак"/>
    <w:basedOn w:val="11"/>
    <w:link w:val="28"/>
    <w:qFormat/>
    <w:uiPriority w:val="99"/>
    <w:rPr>
      <w:rFonts w:ascii="Times New Roman" w:hAnsi="Times New Roman" w:eastAsia="Times New Roman" w:cs="Times New Roman"/>
      <w:sz w:val="20"/>
      <w:szCs w:val="20"/>
      <w:lang w:eastAsia="ru-RU"/>
    </w:rPr>
  </w:style>
  <w:style w:type="character" w:customStyle="1" w:styleId="52">
    <w:name w:val="Название Знак"/>
    <w:basedOn w:val="11"/>
    <w:link w:val="27"/>
    <w:uiPriority w:val="10"/>
    <w:rPr>
      <w:rFonts w:ascii="Cambria" w:hAnsi="Cambria" w:eastAsia="Times New Roman" w:cs="Times New Roman"/>
      <w:b/>
      <w:bCs/>
      <w:kern w:val="28"/>
      <w:sz w:val="32"/>
      <w:szCs w:val="32"/>
      <w:lang w:eastAsia="ru-RU"/>
    </w:rPr>
  </w:style>
  <w:style w:type="character" w:customStyle="1" w:styleId="53">
    <w:name w:val="Основной текст 3 Знак"/>
    <w:basedOn w:val="11"/>
    <w:link w:val="30"/>
    <w:uiPriority w:val="99"/>
    <w:rPr>
      <w:rFonts w:ascii="Times New Roman" w:hAnsi="Times New Roman" w:eastAsia="Times New Roman" w:cs="Times New Roman"/>
      <w:sz w:val="16"/>
      <w:szCs w:val="16"/>
      <w:lang w:eastAsia="ru-RU"/>
    </w:rPr>
  </w:style>
  <w:style w:type="character" w:customStyle="1" w:styleId="54">
    <w:name w:val="Текст примечания Знак"/>
    <w:basedOn w:val="11"/>
    <w:link w:val="22"/>
    <w:semiHidden/>
    <w:uiPriority w:val="99"/>
    <w:rPr>
      <w:rFonts w:ascii="Times New Roman" w:hAnsi="Times New Roman" w:eastAsia="Times New Roman" w:cs="Times New Roman"/>
      <w:sz w:val="20"/>
      <w:szCs w:val="20"/>
      <w:lang w:eastAsia="ru-RU"/>
    </w:rPr>
  </w:style>
  <w:style w:type="character" w:customStyle="1" w:styleId="55">
    <w:name w:val="Текст сноски Знак"/>
    <w:basedOn w:val="11"/>
    <w:link w:val="23"/>
    <w:semiHidden/>
    <w:uiPriority w:val="99"/>
    <w:rPr>
      <w:rFonts w:ascii="Times New Roman" w:hAnsi="Times New Roman" w:eastAsia="Times New Roman" w:cs="Times New Roman"/>
      <w:sz w:val="20"/>
      <w:szCs w:val="20"/>
      <w:lang w:eastAsia="ru-RU"/>
    </w:rPr>
  </w:style>
  <w:style w:type="character" w:customStyle="1" w:styleId="56">
    <w:name w:val="Текст выноски Знак"/>
    <w:basedOn w:val="11"/>
    <w:link w:val="19"/>
    <w:semiHidden/>
    <w:uiPriority w:val="99"/>
    <w:rPr>
      <w:rFonts w:ascii="Tahoma" w:hAnsi="Tahoma" w:eastAsia="Times New Roman" w:cs="Times New Roman"/>
      <w:sz w:val="16"/>
      <w:szCs w:val="16"/>
      <w:lang w:eastAsia="ru-RU"/>
    </w:rPr>
  </w:style>
  <w:style w:type="paragraph" w:customStyle="1" w:styleId="57">
    <w:name w:val="FR1"/>
    <w:uiPriority w:val="99"/>
    <w:pPr>
      <w:widowControl w:val="0"/>
      <w:autoSpaceDE w:val="0"/>
      <w:autoSpaceDN w:val="0"/>
      <w:spacing w:after="0" w:line="280" w:lineRule="auto"/>
      <w:ind w:left="240"/>
      <w:jc w:val="center"/>
    </w:pPr>
    <w:rPr>
      <w:rFonts w:ascii="Arial" w:hAnsi="Arial" w:eastAsia="Times New Roman" w:cs="Arial"/>
      <w:i/>
      <w:iCs/>
      <w:sz w:val="20"/>
      <w:szCs w:val="20"/>
      <w:lang w:val="uk-UA" w:eastAsia="ru-RU" w:bidi="ar-SA"/>
    </w:rPr>
  </w:style>
  <w:style w:type="paragraph" w:customStyle="1" w:styleId="58">
    <w:name w:val="ДинШапкаНазв"/>
    <w:basedOn w:val="1"/>
    <w:uiPriority w:val="99"/>
    <w:pPr>
      <w:widowControl w:val="0"/>
      <w:tabs>
        <w:tab w:val="left" w:pos="1800"/>
        <w:tab w:val="left" w:pos="4140"/>
      </w:tabs>
      <w:autoSpaceDE w:val="0"/>
      <w:autoSpaceDN w:val="0"/>
      <w:spacing w:after="0"/>
      <w:ind w:firstLine="567"/>
      <w:jc w:val="center"/>
    </w:pPr>
    <w:rPr>
      <w:rFonts w:ascii="Times New Roman" w:hAnsi="Times New Roman" w:eastAsia="Times New Roman" w:cs="Times New Roman"/>
      <w:b/>
      <w:color w:val="000000"/>
      <w:sz w:val="28"/>
      <w:szCs w:val="28"/>
      <w:u w:val="single"/>
      <w:lang w:val="uk-UA" w:eastAsia="ru-RU"/>
    </w:rPr>
  </w:style>
  <w:style w:type="paragraph" w:customStyle="1" w:styleId="59">
    <w:name w:val="Обычный (Web)"/>
    <w:basedOn w:val="1"/>
    <w:qFormat/>
    <w:uiPriority w:val="99"/>
    <w:pPr>
      <w:autoSpaceDE w:val="0"/>
      <w:autoSpaceDN w:val="0"/>
      <w:spacing w:before="100" w:after="100" w:line="240" w:lineRule="auto"/>
    </w:pPr>
    <w:rPr>
      <w:rFonts w:ascii="Times New Roman" w:hAnsi="Times New Roman" w:eastAsia="Times New Roman" w:cs="Times New Roman"/>
      <w:color w:val="000000"/>
      <w:sz w:val="24"/>
      <w:szCs w:val="24"/>
      <w:lang w:eastAsia="ru-RU"/>
    </w:rPr>
  </w:style>
  <w:style w:type="paragraph" w:customStyle="1" w:styleId="60">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uk-UA" w:eastAsia="uk-UA" w:bidi="ar-SA"/>
    </w:rPr>
  </w:style>
  <w:style w:type="paragraph" w:customStyle="1" w:styleId="61">
    <w:name w:val="H3"/>
    <w:basedOn w:val="1"/>
    <w:next w:val="1"/>
    <w:uiPriority w:val="0"/>
    <w:pPr>
      <w:keepNext/>
      <w:widowControl w:val="0"/>
      <w:spacing w:before="100" w:after="100" w:line="240" w:lineRule="auto"/>
      <w:outlineLvl w:val="3"/>
    </w:pPr>
    <w:rPr>
      <w:rFonts w:ascii="Times New Roman" w:hAnsi="Times New Roman" w:eastAsia="Times New Roman" w:cs="Times New Roman"/>
      <w:b/>
      <w:sz w:val="28"/>
      <w:szCs w:val="20"/>
      <w:lang w:val="en-AU"/>
    </w:rPr>
  </w:style>
  <w:style w:type="paragraph" w:customStyle="1" w:styleId="62">
    <w:name w:val="ДинФормаНазвание"/>
    <w:basedOn w:val="1"/>
    <w:uiPriority w:val="0"/>
    <w:pPr>
      <w:widowControl w:val="0"/>
      <w:spacing w:after="0" w:line="240" w:lineRule="auto"/>
      <w:jc w:val="center"/>
    </w:pPr>
    <w:rPr>
      <w:rFonts w:ascii="Times New Roman" w:hAnsi="Times New Roman" w:eastAsia="Times New Roman" w:cs="Times New Roman"/>
      <w:b/>
      <w:color w:val="000000"/>
      <w:sz w:val="28"/>
      <w:szCs w:val="20"/>
      <w:lang w:eastAsia="ru-RU"/>
    </w:rPr>
  </w:style>
  <w:style w:type="paragraph" w:customStyle="1" w:styleId="63">
    <w:name w:val="ДинРазделОбыч"/>
    <w:basedOn w:val="1"/>
    <w:uiPriority w:val="0"/>
    <w:pPr>
      <w:widowControl w:val="0"/>
      <w:spacing w:after="0" w:line="240" w:lineRule="auto"/>
      <w:jc w:val="center"/>
    </w:pPr>
    <w:rPr>
      <w:rFonts w:ascii="Times New Roman" w:hAnsi="Times New Roman" w:eastAsia="Times New Roman" w:cs="Times New Roman"/>
      <w:b/>
      <w:bCs/>
      <w:color w:val="000000"/>
      <w:szCs w:val="20"/>
      <w:lang w:val="uk-UA" w:eastAsia="ru-RU"/>
    </w:rPr>
  </w:style>
  <w:style w:type="character" w:customStyle="1" w:styleId="64">
    <w:name w:val="Font Style12"/>
    <w:uiPriority w:val="0"/>
    <w:rPr>
      <w:rFonts w:hint="default" w:ascii="Times New Roman" w:hAnsi="Times New Roman" w:cs="Times New Roman"/>
      <w:sz w:val="28"/>
      <w:szCs w:val="28"/>
    </w:rPr>
  </w:style>
  <w:style w:type="character" w:customStyle="1" w:styleId="65">
    <w:name w:val="Font Style15"/>
    <w:uiPriority w:val="0"/>
    <w:rPr>
      <w:rFonts w:hint="default" w:ascii="Times New Roman" w:hAnsi="Times New Roman" w:cs="Times New Roman"/>
      <w:b/>
      <w:bCs/>
      <w:sz w:val="26"/>
      <w:szCs w:val="26"/>
    </w:rPr>
  </w:style>
  <w:style w:type="paragraph" w:customStyle="1" w:styleId="66">
    <w:name w:val="Абзац списка1"/>
    <w:basedOn w:val="1"/>
    <w:uiPriority w:val="0"/>
    <w:pPr>
      <w:spacing w:after="0" w:line="360" w:lineRule="auto"/>
      <w:ind w:left="720" w:firstLine="709"/>
      <w:contextualSpacing/>
      <w:jc w:val="both"/>
    </w:pPr>
    <w:rPr>
      <w:rFonts w:ascii="Times New Roman" w:hAnsi="Times New Roman" w:eastAsia="Times New Roman" w:cs="Times New Roman"/>
      <w:sz w:val="28"/>
      <w:lang w:val="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9340</Words>
  <Characters>53243</Characters>
  <Lines>443</Lines>
  <Paragraphs>124</Paragraphs>
  <TotalTime>18</TotalTime>
  <ScaleCrop>false</ScaleCrop>
  <LinksUpToDate>false</LinksUpToDate>
  <CharactersWithSpaces>62459</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2022-10-19T18:10:00Z</dcterms:created>
  <dc:creator>user</dc:creator>
  <cp:lastModifiedBy>Виктория Волошина-Сидей</cp:lastModifiedBy>
  <cp:lastPrinted>2022-10-23T10:26:00Z</cp:lastPrinted>
  <dcterms:modified xsi:type="dcterms:W3CDTF">2022-11-19T22:46:50Z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388147E16B35478997D5F34311ABC2A7</vt:lpwstr>
  </property>
</Properties>
</file>